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A374" w14:textId="77777777" w:rsidR="00F41AC9" w:rsidRPr="00D54BEA" w:rsidRDefault="149D10CB" w:rsidP="5A5E1931">
      <w:pPr>
        <w:pStyle w:val="Heading1"/>
        <w:jc w:val="center"/>
        <w:rPr>
          <w:sz w:val="96"/>
          <w:szCs w:val="96"/>
        </w:rPr>
      </w:pPr>
      <w:r w:rsidRPr="5A5E1931">
        <w:rPr>
          <w:sz w:val="96"/>
          <w:szCs w:val="96"/>
        </w:rPr>
        <w:t>Accessibility Plan (2025–2028)</w:t>
      </w:r>
    </w:p>
    <w:p w14:paraId="7F17CA86" w14:textId="0C57923A" w:rsidR="5A5E1931" w:rsidRDefault="5A5E1931" w:rsidP="5A5E1931"/>
    <w:p w14:paraId="4604071D" w14:textId="09544C69" w:rsidR="6A34DE75" w:rsidRDefault="00AE0432" w:rsidP="5A5E1931">
      <w:r>
        <w:rPr>
          <w:noProof/>
        </w:rPr>
        <w:drawing>
          <wp:anchor distT="0" distB="0" distL="114300" distR="114300" simplePos="0" relativeHeight="251659264" behindDoc="0" locked="0" layoutInCell="1" allowOverlap="1" wp14:anchorId="3CEB65EE" wp14:editId="5FA58486">
            <wp:simplePos x="0" y="0"/>
            <wp:positionH relativeFrom="column">
              <wp:posOffset>1927860</wp:posOffset>
            </wp:positionH>
            <wp:positionV relativeFrom="paragraph">
              <wp:posOffset>162560</wp:posOffset>
            </wp:positionV>
            <wp:extent cx="1623060" cy="1623060"/>
            <wp:effectExtent l="0" t="0" r="0" b="0"/>
            <wp:wrapSquare wrapText="bothSides"/>
            <wp:docPr id="1550071214" name="Picture 1" descr="A logo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071214" name="Picture 1" descr="A logo with a white backgroun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0CD24" w14:textId="1DE5860C" w:rsidR="00F41AC9" w:rsidRDefault="00AE0432">
      <w:r>
        <w:rPr>
          <w:noProof/>
        </w:rPr>
        <w:drawing>
          <wp:anchor distT="0" distB="0" distL="114300" distR="114300" simplePos="0" relativeHeight="251660288" behindDoc="0" locked="0" layoutInCell="1" allowOverlap="1" wp14:anchorId="2688D59B" wp14:editId="25E71F89">
            <wp:simplePos x="0" y="0"/>
            <wp:positionH relativeFrom="column">
              <wp:posOffset>1927860</wp:posOffset>
            </wp:positionH>
            <wp:positionV relativeFrom="paragraph">
              <wp:posOffset>1462405</wp:posOffset>
            </wp:positionV>
            <wp:extent cx="1623060" cy="1623060"/>
            <wp:effectExtent l="0" t="0" r="0" b="0"/>
            <wp:wrapSquare wrapText="bothSides"/>
            <wp:docPr id="56535092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35092" name="Picture 2" descr="A close-up of a logo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186AAFC1" w14:textId="77777777" w:rsidR="00F41AC9" w:rsidRDefault="008F1B17">
      <w:pPr>
        <w:pStyle w:val="Heading2"/>
      </w:pPr>
      <w:r>
        <w:lastRenderedPageBreak/>
        <w:t>1. Introduction</w:t>
      </w:r>
    </w:p>
    <w:p w14:paraId="4FE53224" w14:textId="2B5054FD" w:rsidR="00F41AC9" w:rsidRDefault="149D10CB">
      <w:r>
        <w:t xml:space="preserve">This Accessibility Plan is drawn up in compliance with the Equality Act 2010 and the Special Educational Needs and Disability (SEND) Code of Practice. It outlines how </w:t>
      </w:r>
      <w:r w:rsidR="04873A23">
        <w:t>the school</w:t>
      </w:r>
      <w:r>
        <w:t xml:space="preserve"> will improve accessibility for pupils with disabilities over a three-year period.</w:t>
      </w:r>
      <w:r>
        <w:br/>
      </w:r>
      <w:r>
        <w:br/>
        <w:t>We are committed to providing an inclusive environment where all pupils, staff, parents, and visitors feel welcomed, valued, and supported.</w:t>
      </w:r>
    </w:p>
    <w:p w14:paraId="26C15D4E" w14:textId="77777777" w:rsidR="00F41AC9" w:rsidRDefault="008F1B17">
      <w:pPr>
        <w:pStyle w:val="Heading2"/>
      </w:pPr>
      <w:r>
        <w:t>2. Aims of the Plan</w:t>
      </w:r>
    </w:p>
    <w:p w14:paraId="63254516" w14:textId="77777777" w:rsidR="00F41AC9" w:rsidRDefault="008F1B17">
      <w:r>
        <w:t>The aims of this Accessibility Plan are to:</w:t>
      </w:r>
      <w:r>
        <w:br/>
        <w:t>- Increase access to the curriculum for pupils with disabilities.</w:t>
      </w:r>
      <w:r>
        <w:br/>
        <w:t>- Improve and maintain access to the physical environment of the school.</w:t>
      </w:r>
      <w:r>
        <w:br/>
        <w:t>- Improve the delivery of written information to pupils, staff, parents, and visitors with disabilities.</w:t>
      </w:r>
    </w:p>
    <w:p w14:paraId="27D84F56" w14:textId="77777777" w:rsidR="00F41AC9" w:rsidRDefault="008F1B17">
      <w:pPr>
        <w:pStyle w:val="Heading2"/>
      </w:pPr>
      <w:r>
        <w:t>3. Current Position</w:t>
      </w:r>
    </w:p>
    <w:p w14:paraId="306850C3" w14:textId="77777777" w:rsidR="00F41AC9" w:rsidRDefault="008F1B17">
      <w:pPr>
        <w:pStyle w:val="Heading3"/>
      </w:pPr>
      <w:r>
        <w:t>3.1 Physical Environment</w:t>
      </w:r>
    </w:p>
    <w:p w14:paraId="2CEF1D5C" w14:textId="3641363B" w:rsidR="00F41AC9" w:rsidRDefault="008F1B17" w:rsidP="3B8213E8">
      <w:r>
        <w:t xml:space="preserve">- The school building has classrooms on </w:t>
      </w:r>
      <w:r w:rsidR="36C5D175">
        <w:t xml:space="preserve">the </w:t>
      </w:r>
      <w:r w:rsidR="0043666C">
        <w:t>ground floor and first floor</w:t>
      </w:r>
      <w:r w:rsidR="59EA5D08">
        <w:t>.</w:t>
      </w:r>
      <w:r>
        <w:br/>
        <w:t>- Where pupils with mobility or accessibility needs are admitted, arrangements can be made to move their class to a suitable ground-floor classroom</w:t>
      </w:r>
      <w:r w:rsidR="13557491">
        <w:t>.</w:t>
      </w:r>
      <w:r>
        <w:br/>
        <w:t>- Accessible toilets are available on the ground floor</w:t>
      </w:r>
      <w:r w:rsidR="32D826C5">
        <w:t>.</w:t>
      </w:r>
      <w:r>
        <w:br/>
        <w:t xml:space="preserve">- Corridors and selected classrooms on the </w:t>
      </w:r>
      <w:r w:rsidR="01CCE5AA">
        <w:t>ground</w:t>
      </w:r>
      <w:r>
        <w:t xml:space="preserve"> floor are wide enough to accommodate wheelchairs.</w:t>
      </w:r>
      <w:r>
        <w:br/>
        <w:t>- Fire evacuation procedures include provision for pupils with additional needs.</w:t>
      </w:r>
    </w:p>
    <w:p w14:paraId="6C462810" w14:textId="77777777" w:rsidR="00F41AC9" w:rsidRDefault="008F1B17">
      <w:pPr>
        <w:pStyle w:val="Heading3"/>
      </w:pPr>
      <w:r>
        <w:t>3.2 Curriculum Access</w:t>
      </w:r>
    </w:p>
    <w:p w14:paraId="5A7BDF41" w14:textId="77777777" w:rsidR="00F41AC9" w:rsidRDefault="008F1B17">
      <w:r>
        <w:t>- Teachers differentiate lessons to meet a range of needs (learning, physical, and sensory).</w:t>
      </w:r>
      <w:r>
        <w:br/>
        <w:t xml:space="preserve">- </w:t>
      </w:r>
      <w:proofErr w:type="spellStart"/>
      <w:r>
        <w:t>Personalised</w:t>
      </w:r>
      <w:proofErr w:type="spellEnd"/>
      <w:r>
        <w:t xml:space="preserve"> support plans are provided for pupils with SEND.</w:t>
      </w:r>
      <w:r>
        <w:br/>
        <w:t>- Staff receive ongoing training in supporting pupils with additional needs (e.g., autism awareness, dyslexia-friendly strategies).</w:t>
      </w:r>
      <w:r>
        <w:br/>
        <w:t>- Specialist advice is sought from external agencies when necessary.</w:t>
      </w:r>
    </w:p>
    <w:p w14:paraId="5D309AC0" w14:textId="77777777" w:rsidR="00F41AC9" w:rsidRDefault="008F1B17">
      <w:pPr>
        <w:pStyle w:val="Heading3"/>
      </w:pPr>
      <w:r>
        <w:t>3.3 Written Information</w:t>
      </w:r>
    </w:p>
    <w:p w14:paraId="2CADA54C" w14:textId="77777777" w:rsidR="00F41AC9" w:rsidRDefault="008F1B17">
      <w:r>
        <w:t>- Information is available in alternative formats on request (large print, translated documents, simplified texts).</w:t>
      </w:r>
      <w:r>
        <w:br/>
        <w:t>- Staff are aware of how to adapt communication for parents and pupils with specific needs.</w:t>
      </w:r>
      <w:r>
        <w:br/>
        <w:t>- School website and communication systems are designed to be accessible.</w:t>
      </w:r>
    </w:p>
    <w:p w14:paraId="2F43E718" w14:textId="77777777" w:rsidR="00D54BEA" w:rsidRDefault="00D54BEA"/>
    <w:p w14:paraId="1CAB1D84" w14:textId="77777777" w:rsidR="00F41AC9" w:rsidRDefault="008F1B17">
      <w:pPr>
        <w:pStyle w:val="Heading2"/>
      </w:pPr>
      <w:r>
        <w:t>4. Accessibility Action Plan (2025–2028)</w:t>
      </w:r>
    </w:p>
    <w:tbl>
      <w:tblPr>
        <w:tblW w:w="1065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8919"/>
      </w:tblGrid>
      <w:tr w:rsidR="006F48F6" w14:paraId="66F48609" w14:textId="77777777" w:rsidTr="00BB77C0">
        <w:trPr>
          <w:trHeight w:val="392"/>
        </w:trPr>
        <w:tc>
          <w:tcPr>
            <w:tcW w:w="10657" w:type="dxa"/>
            <w:gridSpan w:val="2"/>
          </w:tcPr>
          <w:p w14:paraId="45910188" w14:textId="77777777" w:rsidR="006F48F6" w:rsidRDefault="006F48F6" w:rsidP="00BB77C0">
            <w:pPr>
              <w:pStyle w:val="TableParagraph"/>
              <w:spacing w:line="369" w:lineRule="exact"/>
              <w:ind w:left="11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Accessibility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Plan</w:t>
            </w:r>
          </w:p>
        </w:tc>
      </w:tr>
      <w:tr w:rsidR="006F48F6" w14:paraId="3E624B8F" w14:textId="77777777" w:rsidTr="00BB77C0">
        <w:trPr>
          <w:trHeight w:val="1621"/>
        </w:trPr>
        <w:tc>
          <w:tcPr>
            <w:tcW w:w="1738" w:type="dxa"/>
          </w:tcPr>
          <w:p w14:paraId="4DC6F9FC" w14:textId="77777777" w:rsidR="006F48F6" w:rsidRDefault="006F48F6" w:rsidP="00BB77C0">
            <w:pPr>
              <w:pStyle w:val="TableParagraph"/>
              <w:spacing w:line="268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RATIONALE</w:t>
            </w:r>
          </w:p>
        </w:tc>
        <w:tc>
          <w:tcPr>
            <w:tcW w:w="8919" w:type="dxa"/>
          </w:tcPr>
          <w:p w14:paraId="657115E8" w14:textId="77777777" w:rsidR="006F48F6" w:rsidRDefault="006F48F6" w:rsidP="00BB77C0">
            <w:pPr>
              <w:pStyle w:val="TableParagraph"/>
              <w:spacing w:before="3" w:line="237" w:lineRule="auto"/>
              <w:ind w:left="112" w:right="446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accessible</w:t>
            </w:r>
            <w:r>
              <w:rPr>
                <w:spacing w:val="-1"/>
              </w:rPr>
              <w:t xml:space="preserve"> </w:t>
            </w:r>
            <w:r>
              <w:t>environment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Nuqtah</w:t>
            </w:r>
            <w:proofErr w:type="spellEnd"/>
            <w:r>
              <w:t xml:space="preserve"> Primary School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values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includes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pupils,</w:t>
            </w:r>
            <w:r>
              <w:rPr>
                <w:spacing w:val="-2"/>
              </w:rPr>
              <w:t xml:space="preserve"> </w:t>
            </w:r>
            <w:r>
              <w:t>staff, parents and visitors regardless of their education, physical, sensory, social, spiritual, emotional and cultural needs. We are committed to challenging any negative attitudes about disability and accessibility and to developing a culture of awareness, tolerance and inclusion.</w:t>
            </w:r>
          </w:p>
        </w:tc>
      </w:tr>
      <w:tr w:rsidR="006F48F6" w14:paraId="6A6A7713" w14:textId="77777777" w:rsidTr="00BB77C0">
        <w:trPr>
          <w:trHeight w:val="2721"/>
        </w:trPr>
        <w:tc>
          <w:tcPr>
            <w:tcW w:w="1738" w:type="dxa"/>
          </w:tcPr>
          <w:p w14:paraId="5BF98477" w14:textId="77777777" w:rsidR="006F48F6" w:rsidRDefault="006F48F6" w:rsidP="00BB77C0">
            <w:pPr>
              <w:pStyle w:val="TableParagraph"/>
              <w:spacing w:before="6"/>
              <w:ind w:left="112"/>
              <w:rPr>
                <w:b/>
              </w:rPr>
            </w:pPr>
            <w:r>
              <w:rPr>
                <w:b/>
                <w:spacing w:val="-2"/>
              </w:rPr>
              <w:lastRenderedPageBreak/>
              <w:t>PURPOSES</w:t>
            </w:r>
          </w:p>
        </w:tc>
        <w:tc>
          <w:tcPr>
            <w:tcW w:w="8919" w:type="dxa"/>
          </w:tcPr>
          <w:p w14:paraId="0E5BA911" w14:textId="77777777" w:rsidR="006F48F6" w:rsidRDefault="006F48F6" w:rsidP="00BB77C0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before="6" w:line="265" w:lineRule="exact"/>
              <w:ind w:left="831" w:hanging="359"/>
            </w:pPr>
            <w:r>
              <w:t>To</w:t>
            </w:r>
            <w:r>
              <w:rPr>
                <w:spacing w:val="-7"/>
              </w:rPr>
              <w:t xml:space="preserve"> </w:t>
            </w:r>
            <w:r>
              <w:t>ensure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Nuqtah</w:t>
            </w:r>
            <w:proofErr w:type="spellEnd"/>
            <w:r>
              <w:t xml:space="preserve"> Primary School</w:t>
            </w:r>
            <w:r>
              <w:rPr>
                <w:spacing w:val="-4"/>
              </w:rPr>
              <w:t xml:space="preserve"> </w:t>
            </w:r>
            <w:r>
              <w:t>plans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accessibility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pupils,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visitors</w:t>
            </w:r>
          </w:p>
          <w:p w14:paraId="6D71B0DD" w14:textId="77777777" w:rsidR="006F48F6" w:rsidRDefault="006F48F6" w:rsidP="00BB77C0">
            <w:pPr>
              <w:pStyle w:val="TableParagraph"/>
              <w:numPr>
                <w:ilvl w:val="0"/>
                <w:numId w:val="10"/>
              </w:numPr>
              <w:tabs>
                <w:tab w:val="left" w:pos="832"/>
              </w:tabs>
              <w:ind w:right="1143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improve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physical</w:t>
            </w:r>
            <w:r>
              <w:rPr>
                <w:spacing w:val="-4"/>
              </w:rPr>
              <w:t xml:space="preserve"> </w:t>
            </w:r>
            <w:r>
              <w:t>environment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Nuqtah</w:t>
            </w:r>
            <w:proofErr w:type="spellEnd"/>
            <w:r>
              <w:t xml:space="preserve"> Primary School and making reasonable adjustments</w:t>
            </w:r>
          </w:p>
          <w:p w14:paraId="3D9AF743" w14:textId="77777777" w:rsidR="006F48F6" w:rsidRDefault="006F48F6" w:rsidP="00BB77C0">
            <w:pPr>
              <w:pStyle w:val="TableParagraph"/>
              <w:numPr>
                <w:ilvl w:val="0"/>
                <w:numId w:val="10"/>
              </w:numPr>
              <w:tabs>
                <w:tab w:val="left" w:pos="832"/>
              </w:tabs>
              <w:ind w:right="248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further</w:t>
            </w:r>
            <w:r>
              <w:rPr>
                <w:spacing w:val="-2"/>
              </w:rPr>
              <w:t xml:space="preserve"> </w:t>
            </w:r>
            <w:r>
              <w:t>increase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curriculum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pupils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proofErr w:type="gramStart"/>
            <w:r>
              <w:t>a</w:t>
            </w:r>
            <w:r>
              <w:rPr>
                <w:spacing w:val="-2"/>
              </w:rPr>
              <w:t xml:space="preserve"> </w:t>
            </w:r>
            <w:r>
              <w:t>disability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participation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gramStart"/>
            <w:r>
              <w:t>extra-curricular</w:t>
            </w:r>
            <w:proofErr w:type="gramEnd"/>
            <w:r>
              <w:rPr>
                <w:spacing w:val="-3"/>
              </w:rPr>
              <w:t xml:space="preserve"> </w:t>
            </w:r>
            <w:r>
              <w:t>clubs,</w:t>
            </w:r>
            <w:r>
              <w:rPr>
                <w:spacing w:val="-2"/>
              </w:rPr>
              <w:t xml:space="preserve"> </w:t>
            </w:r>
            <w:r>
              <w:t>leisure and cultural activities and educational visits and considering the provision of specialist aids and equipment.</w:t>
            </w:r>
          </w:p>
          <w:p w14:paraId="7D0C8B3F" w14:textId="77777777" w:rsidR="006F48F6" w:rsidRDefault="006F48F6" w:rsidP="00BB77C0">
            <w:pPr>
              <w:pStyle w:val="TableParagraph"/>
              <w:numPr>
                <w:ilvl w:val="0"/>
                <w:numId w:val="10"/>
              </w:numPr>
              <w:tabs>
                <w:tab w:val="left" w:pos="832"/>
              </w:tabs>
              <w:ind w:right="609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further</w:t>
            </w:r>
            <w:r>
              <w:rPr>
                <w:spacing w:val="-2"/>
              </w:rPr>
              <w:t xml:space="preserve"> </w:t>
            </w:r>
            <w:r>
              <w:t>improve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reasonable</w:t>
            </w:r>
            <w:r>
              <w:rPr>
                <w:spacing w:val="-5"/>
              </w:rPr>
              <w:t xml:space="preserve"> </w:t>
            </w:r>
            <w:r>
              <w:t>adjustments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available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pupils,</w:t>
            </w:r>
            <w:r>
              <w:rPr>
                <w:spacing w:val="-2"/>
              </w:rPr>
              <w:t xml:space="preserve"> </w:t>
            </w:r>
            <w:r>
              <w:t>staff,</w:t>
            </w:r>
            <w:r>
              <w:rPr>
                <w:spacing w:val="-2"/>
              </w:rPr>
              <w:t xml:space="preserve"> </w:t>
            </w:r>
            <w:r>
              <w:t>parents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visitors,</w:t>
            </w:r>
            <w:r>
              <w:rPr>
                <w:spacing w:val="-5"/>
              </w:rPr>
              <w:t xml:space="preserve"> </w:t>
            </w:r>
            <w:r>
              <w:t>within reasonable time frames considering the various preferred formats.</w:t>
            </w:r>
          </w:p>
          <w:p w14:paraId="6546DBC8" w14:textId="77777777" w:rsidR="006F48F6" w:rsidRDefault="006F48F6" w:rsidP="00BB77C0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ind w:left="831" w:hanging="359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on-going</w:t>
            </w:r>
            <w:r>
              <w:rPr>
                <w:spacing w:val="-8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staff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Governors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matters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disability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discrimination</w:t>
            </w:r>
          </w:p>
        </w:tc>
      </w:tr>
      <w:tr w:rsidR="006F48F6" w14:paraId="0BF3957B" w14:textId="77777777" w:rsidTr="00BB77C0">
        <w:trPr>
          <w:trHeight w:val="1629"/>
        </w:trPr>
        <w:tc>
          <w:tcPr>
            <w:tcW w:w="1738" w:type="dxa"/>
          </w:tcPr>
          <w:p w14:paraId="1166F191" w14:textId="77777777" w:rsidR="006F48F6" w:rsidRDefault="006F48F6" w:rsidP="00BB77C0">
            <w:pPr>
              <w:pStyle w:val="TableParagraph"/>
              <w:spacing w:before="5" w:line="235" w:lineRule="auto"/>
              <w:ind w:left="112" w:right="581"/>
              <w:rPr>
                <w:b/>
              </w:rPr>
            </w:pPr>
            <w:r>
              <w:rPr>
                <w:b/>
              </w:rPr>
              <w:t>NATIONAL/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LOCAL </w:t>
            </w:r>
            <w:r>
              <w:rPr>
                <w:b/>
                <w:spacing w:val="-2"/>
              </w:rPr>
              <w:t>GUIDANCE</w:t>
            </w:r>
          </w:p>
        </w:tc>
        <w:tc>
          <w:tcPr>
            <w:tcW w:w="8919" w:type="dxa"/>
          </w:tcPr>
          <w:p w14:paraId="354DFD1A" w14:textId="77777777" w:rsidR="006F48F6" w:rsidRDefault="006F48F6" w:rsidP="00BB77C0">
            <w:pPr>
              <w:pStyle w:val="TableParagraph"/>
              <w:spacing w:before="5" w:line="235" w:lineRule="auto"/>
              <w:ind w:left="112" w:right="4027"/>
            </w:pPr>
            <w:r>
              <w:t>This</w:t>
            </w:r>
            <w:r>
              <w:rPr>
                <w:spacing w:val="-3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also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read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conjunction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following</w:t>
            </w:r>
            <w:r>
              <w:rPr>
                <w:spacing w:val="-4"/>
              </w:rPr>
              <w:t xml:space="preserve"> </w:t>
            </w:r>
            <w:r>
              <w:t xml:space="preserve">National </w:t>
            </w:r>
            <w:proofErr w:type="gramStart"/>
            <w:r>
              <w:t>Guidance</w:t>
            </w:r>
            <w:r>
              <w:rPr>
                <w:spacing w:val="-2"/>
              </w:rPr>
              <w:t xml:space="preserve"> </w:t>
            </w:r>
            <w:r>
              <w:t>:</w:t>
            </w:r>
            <w:proofErr w:type="gramEnd"/>
            <w:r>
              <w:t xml:space="preserve"> Equality Act 2010: Schedule 10, relating to Disability</w:t>
            </w:r>
          </w:p>
        </w:tc>
      </w:tr>
    </w:tbl>
    <w:p w14:paraId="245AAC4E" w14:textId="77777777" w:rsidR="006F48F6" w:rsidRPr="006F48F6" w:rsidRDefault="006F48F6" w:rsidP="006F48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8"/>
        <w:gridCol w:w="3637"/>
        <w:gridCol w:w="1207"/>
        <w:gridCol w:w="1560"/>
        <w:gridCol w:w="2358"/>
      </w:tblGrid>
      <w:tr w:rsidR="00F41AC9" w14:paraId="2F01AEC6" w14:textId="77777777" w:rsidTr="006F48F6">
        <w:trPr>
          <w:trHeight w:val="254"/>
        </w:trPr>
        <w:tc>
          <w:tcPr>
            <w:tcW w:w="2028" w:type="dxa"/>
          </w:tcPr>
          <w:p w14:paraId="6B9820AD" w14:textId="77777777" w:rsidR="00F41AC9" w:rsidRDefault="008F1B17">
            <w:r>
              <w:t>Objective</w:t>
            </w:r>
          </w:p>
        </w:tc>
        <w:tc>
          <w:tcPr>
            <w:tcW w:w="3637" w:type="dxa"/>
          </w:tcPr>
          <w:p w14:paraId="462A70E0" w14:textId="77777777" w:rsidR="00F41AC9" w:rsidRDefault="008F1B17">
            <w:r>
              <w:t>Action</w:t>
            </w:r>
          </w:p>
        </w:tc>
        <w:tc>
          <w:tcPr>
            <w:tcW w:w="1207" w:type="dxa"/>
          </w:tcPr>
          <w:p w14:paraId="65392E18" w14:textId="77777777" w:rsidR="00F41AC9" w:rsidRDefault="008F1B17">
            <w:r>
              <w:t>Timescale</w:t>
            </w:r>
          </w:p>
        </w:tc>
        <w:tc>
          <w:tcPr>
            <w:tcW w:w="1560" w:type="dxa"/>
          </w:tcPr>
          <w:p w14:paraId="5DAA3E10" w14:textId="77777777" w:rsidR="00F41AC9" w:rsidRDefault="008F1B17">
            <w:r>
              <w:t>Responsibility</w:t>
            </w:r>
          </w:p>
        </w:tc>
        <w:tc>
          <w:tcPr>
            <w:tcW w:w="2358" w:type="dxa"/>
          </w:tcPr>
          <w:p w14:paraId="671BC281" w14:textId="77777777" w:rsidR="00F41AC9" w:rsidRDefault="008F1B17">
            <w:r>
              <w:t>Success Criteria</w:t>
            </w:r>
          </w:p>
        </w:tc>
      </w:tr>
      <w:tr w:rsidR="00F41AC9" w14:paraId="432B8D8E" w14:textId="77777777" w:rsidTr="006F48F6">
        <w:trPr>
          <w:trHeight w:val="699"/>
        </w:trPr>
        <w:tc>
          <w:tcPr>
            <w:tcW w:w="2028" w:type="dxa"/>
          </w:tcPr>
          <w:p w14:paraId="3359F5AF" w14:textId="77777777" w:rsidR="00F41AC9" w:rsidRDefault="008F1B17">
            <w:r>
              <w:t>Maintain physical accessibility</w:t>
            </w:r>
          </w:p>
        </w:tc>
        <w:tc>
          <w:tcPr>
            <w:tcW w:w="3637" w:type="dxa"/>
          </w:tcPr>
          <w:p w14:paraId="0A4AA094" w14:textId="5819A969" w:rsidR="006F79D5" w:rsidRPr="007852DB" w:rsidRDefault="008F1B17" w:rsidP="0010713A">
            <w:pPr>
              <w:pStyle w:val="TableParagraph"/>
              <w:spacing w:before="52"/>
              <w:ind w:left="0"/>
              <w:rPr>
                <w:rFonts w:asciiTheme="minorHAnsi" w:eastAsiaTheme="minorEastAsia" w:hAnsiTheme="minorHAnsi" w:cstheme="minorBidi"/>
              </w:rPr>
            </w:pPr>
            <w:r w:rsidRPr="007852DB">
              <w:rPr>
                <w:rFonts w:asciiTheme="minorHAnsi" w:eastAsiaTheme="minorEastAsia" w:hAnsiTheme="minorHAnsi" w:cstheme="minorBidi"/>
              </w:rPr>
              <w:t>Annual review of ramps, accessible toilets, and entrances/exits.</w:t>
            </w:r>
            <w:r w:rsidR="006F79D5" w:rsidRPr="007852DB">
              <w:rPr>
                <w:rFonts w:asciiTheme="minorHAnsi" w:eastAsiaTheme="minorEastAsia" w:hAnsiTheme="minorHAnsi" w:cstheme="minorBidi"/>
              </w:rPr>
              <w:t xml:space="preserve"> </w:t>
            </w:r>
            <w:r w:rsidR="006F79D5" w:rsidRPr="007852DB">
              <w:rPr>
                <w:rFonts w:asciiTheme="minorHAnsi" w:eastAsiaTheme="minorEastAsia" w:hAnsiTheme="minorHAnsi" w:cstheme="minorBidi"/>
              </w:rPr>
              <w:t>To maintain</w:t>
            </w:r>
            <w:r w:rsidR="0010713A">
              <w:rPr>
                <w:rFonts w:asciiTheme="minorHAnsi" w:eastAsiaTheme="minorEastAsia" w:hAnsiTheme="minorHAnsi" w:cstheme="minorBidi"/>
              </w:rPr>
              <w:t xml:space="preserve"> </w:t>
            </w:r>
            <w:r w:rsidR="006F79D5" w:rsidRPr="007852DB">
              <w:rPr>
                <w:rFonts w:asciiTheme="minorHAnsi" w:eastAsiaTheme="minorEastAsia" w:hAnsiTheme="minorHAnsi" w:cstheme="minorBidi"/>
              </w:rPr>
              <w:t>ramped access into school.</w:t>
            </w:r>
          </w:p>
          <w:p w14:paraId="2FC8A5BE" w14:textId="435A0DEA" w:rsidR="006F79D5" w:rsidRPr="007852DB" w:rsidRDefault="006F79D5" w:rsidP="0010713A">
            <w:pPr>
              <w:pStyle w:val="TableParagraph"/>
              <w:tabs>
                <w:tab w:val="left" w:pos="1154"/>
              </w:tabs>
              <w:spacing w:line="244" w:lineRule="auto"/>
              <w:ind w:left="0" w:right="223"/>
              <w:rPr>
                <w:rFonts w:asciiTheme="minorHAnsi" w:eastAsiaTheme="minorEastAsia" w:hAnsiTheme="minorHAnsi" w:cstheme="minorBidi"/>
              </w:rPr>
            </w:pPr>
            <w:r w:rsidRPr="007852DB">
              <w:rPr>
                <w:rFonts w:asciiTheme="minorHAnsi" w:eastAsiaTheme="minorEastAsia" w:hAnsiTheme="minorHAnsi" w:cstheme="minorBidi"/>
              </w:rPr>
              <w:t xml:space="preserve">To ensure </w:t>
            </w:r>
            <w:proofErr w:type="gramStart"/>
            <w:r w:rsidRPr="007852DB">
              <w:rPr>
                <w:rFonts w:asciiTheme="minorHAnsi" w:eastAsiaTheme="minorEastAsia" w:hAnsiTheme="minorHAnsi" w:cstheme="minorBidi"/>
              </w:rPr>
              <w:t>PEEP's</w:t>
            </w:r>
            <w:proofErr w:type="gramEnd"/>
            <w:r w:rsidRPr="007852DB">
              <w:rPr>
                <w:rFonts w:asciiTheme="minorHAnsi" w:eastAsiaTheme="minorEastAsia" w:hAnsiTheme="minorHAnsi" w:cstheme="minorBidi"/>
              </w:rPr>
              <w:t xml:space="preserve"> are regularly</w:t>
            </w:r>
            <w:r w:rsidR="0010713A">
              <w:rPr>
                <w:rFonts w:asciiTheme="minorHAnsi" w:eastAsiaTheme="minorEastAsia" w:hAnsiTheme="minorHAnsi" w:cstheme="minorBidi"/>
              </w:rPr>
              <w:t xml:space="preserve"> </w:t>
            </w:r>
            <w:r w:rsidRPr="007852DB">
              <w:rPr>
                <w:rFonts w:asciiTheme="minorHAnsi" w:eastAsiaTheme="minorEastAsia" w:hAnsiTheme="minorHAnsi" w:cstheme="minorBidi"/>
              </w:rPr>
              <w:t>updated and new ones completed when a pupil with a</w:t>
            </w:r>
            <w:r w:rsidR="0010713A">
              <w:rPr>
                <w:rFonts w:asciiTheme="minorHAnsi" w:eastAsiaTheme="minorEastAsia" w:hAnsiTheme="minorHAnsi" w:cstheme="minorBidi"/>
              </w:rPr>
              <w:t xml:space="preserve"> </w:t>
            </w:r>
            <w:r w:rsidRPr="007852DB">
              <w:rPr>
                <w:rFonts w:asciiTheme="minorHAnsi" w:eastAsiaTheme="minorEastAsia" w:hAnsiTheme="minorHAnsi" w:cstheme="minorBidi"/>
              </w:rPr>
              <w:t xml:space="preserve">disability is enrolled into </w:t>
            </w:r>
            <w:proofErr w:type="spellStart"/>
            <w:r w:rsidRPr="007852DB">
              <w:rPr>
                <w:rFonts w:asciiTheme="minorHAnsi" w:eastAsiaTheme="minorEastAsia" w:hAnsiTheme="minorHAnsi" w:cstheme="minorBidi"/>
              </w:rPr>
              <w:t>Nuqtah</w:t>
            </w:r>
            <w:proofErr w:type="spellEnd"/>
            <w:r w:rsidRPr="007852DB">
              <w:rPr>
                <w:rFonts w:asciiTheme="minorHAnsi" w:eastAsiaTheme="minorEastAsia" w:hAnsiTheme="minorHAnsi" w:cstheme="minorBidi"/>
              </w:rPr>
              <w:t>.</w:t>
            </w:r>
          </w:p>
          <w:p w14:paraId="3F8B2D3C" w14:textId="77777777" w:rsidR="006F79D5" w:rsidRPr="007852DB" w:rsidRDefault="006F79D5" w:rsidP="0010713A">
            <w:pPr>
              <w:pStyle w:val="TableParagraph"/>
              <w:spacing w:line="259" w:lineRule="auto"/>
              <w:ind w:left="0"/>
              <w:rPr>
                <w:rFonts w:asciiTheme="minorHAnsi" w:eastAsiaTheme="minorEastAsia" w:hAnsiTheme="minorHAnsi" w:cstheme="minorBidi"/>
              </w:rPr>
            </w:pPr>
            <w:r w:rsidRPr="007852DB">
              <w:rPr>
                <w:rFonts w:asciiTheme="minorHAnsi" w:eastAsiaTheme="minorEastAsia" w:hAnsiTheme="minorHAnsi" w:cstheme="minorBidi"/>
              </w:rPr>
              <w:t xml:space="preserve">Create a </w:t>
            </w:r>
            <w:proofErr w:type="spellStart"/>
            <w:r w:rsidRPr="007852DB">
              <w:rPr>
                <w:rFonts w:asciiTheme="minorHAnsi" w:eastAsiaTheme="minorEastAsia" w:hAnsiTheme="minorHAnsi" w:cstheme="minorBidi"/>
              </w:rPr>
              <w:t>generalised</w:t>
            </w:r>
            <w:proofErr w:type="spellEnd"/>
            <w:r w:rsidRPr="007852DB">
              <w:rPr>
                <w:rFonts w:asciiTheme="minorHAnsi" w:eastAsiaTheme="minorEastAsia" w:hAnsiTheme="minorHAnsi" w:cstheme="minorBidi"/>
              </w:rPr>
              <w:t xml:space="preserve"> PEEP for all visitors to ensure </w:t>
            </w:r>
            <w:proofErr w:type="gramStart"/>
            <w:r w:rsidRPr="007852DB">
              <w:rPr>
                <w:rFonts w:asciiTheme="minorHAnsi" w:eastAsiaTheme="minorEastAsia" w:hAnsiTheme="minorHAnsi" w:cstheme="minorBidi"/>
              </w:rPr>
              <w:t>safe</w:t>
            </w:r>
            <w:proofErr w:type="gramEnd"/>
          </w:p>
          <w:p w14:paraId="1D32F911" w14:textId="17FE09A7" w:rsidR="00F41AC9" w:rsidRDefault="006F79D5" w:rsidP="006F79D5">
            <w:r w:rsidRPr="007852DB">
              <w:t>emergency evacuation.</w:t>
            </w:r>
            <w:r w:rsidR="0010713A">
              <w:t xml:space="preserve"> </w:t>
            </w:r>
            <w:r w:rsidR="0010713A">
              <w:t>Ensure fire/lockdown drills consider disabled pupils.</w:t>
            </w:r>
          </w:p>
        </w:tc>
        <w:tc>
          <w:tcPr>
            <w:tcW w:w="1207" w:type="dxa"/>
          </w:tcPr>
          <w:p w14:paraId="4789C762" w14:textId="77777777" w:rsidR="00F41AC9" w:rsidRDefault="008F1B17">
            <w:r>
              <w:t>Ongoing</w:t>
            </w:r>
          </w:p>
        </w:tc>
        <w:tc>
          <w:tcPr>
            <w:tcW w:w="1560" w:type="dxa"/>
          </w:tcPr>
          <w:p w14:paraId="0BB2DC03" w14:textId="77777777" w:rsidR="00F41AC9" w:rsidRDefault="008F1B17">
            <w:r>
              <w:t>Headteacher / Governors</w:t>
            </w:r>
          </w:p>
        </w:tc>
        <w:tc>
          <w:tcPr>
            <w:tcW w:w="2358" w:type="dxa"/>
          </w:tcPr>
          <w:p w14:paraId="4174415D" w14:textId="33656802" w:rsidR="00E05ED9" w:rsidRPr="0010713A" w:rsidRDefault="008F1B17" w:rsidP="0010713A">
            <w:pPr>
              <w:pStyle w:val="TableParagraph"/>
              <w:spacing w:before="52" w:line="259" w:lineRule="auto"/>
              <w:ind w:left="0" w:right="123"/>
              <w:rPr>
                <w:rFonts w:asciiTheme="minorHAnsi" w:eastAsiaTheme="minorEastAsia" w:hAnsiTheme="minorHAnsi" w:cstheme="minorBidi"/>
              </w:rPr>
            </w:pPr>
            <w:r w:rsidRPr="0010713A">
              <w:rPr>
                <w:rFonts w:asciiTheme="minorHAnsi" w:eastAsiaTheme="minorEastAsia" w:hAnsiTheme="minorHAnsi" w:cstheme="minorBidi"/>
              </w:rPr>
              <w:t xml:space="preserve">All essential facilities are fully </w:t>
            </w:r>
            <w:r w:rsidR="0010713A" w:rsidRPr="0010713A">
              <w:rPr>
                <w:rFonts w:asciiTheme="minorHAnsi" w:eastAsiaTheme="minorEastAsia" w:hAnsiTheme="minorHAnsi" w:cstheme="minorBidi"/>
              </w:rPr>
              <w:t>accessible,</w:t>
            </w:r>
            <w:r w:rsidR="00E05ED9" w:rsidRPr="0010713A">
              <w:rPr>
                <w:rFonts w:asciiTheme="minorHAnsi" w:eastAsiaTheme="minorEastAsia" w:hAnsiTheme="minorHAnsi" w:cstheme="minorBidi"/>
              </w:rPr>
              <w:t xml:space="preserve"> and a</w:t>
            </w:r>
            <w:r w:rsidR="00E05ED9" w:rsidRPr="0010713A">
              <w:rPr>
                <w:rFonts w:asciiTheme="minorHAnsi" w:eastAsiaTheme="minorEastAsia" w:hAnsiTheme="minorHAnsi" w:cstheme="minorBidi"/>
              </w:rPr>
              <w:t>ll ramped access will be in good condition.</w:t>
            </w:r>
          </w:p>
          <w:p w14:paraId="67AF17A9" w14:textId="5FEE43B6" w:rsidR="00F41AC9" w:rsidRDefault="00E05ED9" w:rsidP="00E05ED9">
            <w:r>
              <w:t>All disabled staff and pupils</w:t>
            </w:r>
            <w:r w:rsidRPr="0010713A">
              <w:t xml:space="preserve"> </w:t>
            </w:r>
            <w:r>
              <w:t>will</w:t>
            </w:r>
            <w:r w:rsidRPr="0010713A">
              <w:t xml:space="preserve"> </w:t>
            </w:r>
            <w:r>
              <w:t>be</w:t>
            </w:r>
            <w:r w:rsidRPr="0010713A">
              <w:t xml:space="preserve"> </w:t>
            </w:r>
            <w:r>
              <w:t xml:space="preserve">evacuated safely in </w:t>
            </w:r>
            <w:proofErr w:type="gramStart"/>
            <w:r>
              <w:t xml:space="preserve">an emergency </w:t>
            </w:r>
            <w:r w:rsidRPr="0010713A">
              <w:t>situation</w:t>
            </w:r>
            <w:proofErr w:type="gramEnd"/>
            <w:r w:rsidR="0010713A">
              <w:t xml:space="preserve"> and lockdown procedures </w:t>
            </w:r>
            <w:r w:rsidR="0010713A">
              <w:t xml:space="preserve">are accessible </w:t>
            </w:r>
            <w:r w:rsidR="0010713A">
              <w:t>for all pupils.</w:t>
            </w:r>
          </w:p>
        </w:tc>
      </w:tr>
      <w:tr w:rsidR="00F41AC9" w14:paraId="53B16112" w14:textId="77777777" w:rsidTr="006F48F6">
        <w:trPr>
          <w:trHeight w:val="1560"/>
        </w:trPr>
        <w:tc>
          <w:tcPr>
            <w:tcW w:w="2028" w:type="dxa"/>
          </w:tcPr>
          <w:p w14:paraId="78E24E49" w14:textId="77777777" w:rsidR="00F41AC9" w:rsidRDefault="008F1B17">
            <w:r>
              <w:t>Improve signage and wayfinding</w:t>
            </w:r>
          </w:p>
        </w:tc>
        <w:tc>
          <w:tcPr>
            <w:tcW w:w="3637" w:type="dxa"/>
          </w:tcPr>
          <w:p w14:paraId="1CE22E39" w14:textId="2420D442" w:rsidR="00F41AC9" w:rsidRDefault="0010713A">
            <w:r>
              <w:t>Install visual/pictorial signage across site.</w:t>
            </w:r>
          </w:p>
        </w:tc>
        <w:tc>
          <w:tcPr>
            <w:tcW w:w="1207" w:type="dxa"/>
          </w:tcPr>
          <w:p w14:paraId="2C14032C" w14:textId="77777777" w:rsidR="00F41AC9" w:rsidRDefault="008F1B17">
            <w:r>
              <w:t>2025</w:t>
            </w:r>
          </w:p>
        </w:tc>
        <w:tc>
          <w:tcPr>
            <w:tcW w:w="1560" w:type="dxa"/>
          </w:tcPr>
          <w:p w14:paraId="16CA66E2" w14:textId="77777777" w:rsidR="00F41AC9" w:rsidRDefault="008F1B17">
            <w:r>
              <w:t>Headteacher / Governors</w:t>
            </w:r>
          </w:p>
        </w:tc>
        <w:tc>
          <w:tcPr>
            <w:tcW w:w="2358" w:type="dxa"/>
          </w:tcPr>
          <w:p w14:paraId="6DD9B2E8" w14:textId="77777777" w:rsidR="00F41AC9" w:rsidRDefault="008F1B17">
            <w:r>
              <w:t>Pupils and visitors with SEND can navigate the school more easily.</w:t>
            </w:r>
          </w:p>
        </w:tc>
      </w:tr>
      <w:tr w:rsidR="00F41AC9" w14:paraId="28D536B5" w14:textId="77777777" w:rsidTr="006F48F6">
        <w:trPr>
          <w:trHeight w:val="774"/>
        </w:trPr>
        <w:tc>
          <w:tcPr>
            <w:tcW w:w="2028" w:type="dxa"/>
          </w:tcPr>
          <w:p w14:paraId="56E5D3DE" w14:textId="039F46CF" w:rsidR="00F41AC9" w:rsidRDefault="0010713A">
            <w:r>
              <w:t>To continue to supp</w:t>
            </w:r>
            <w:r w:rsidR="006F48F6">
              <w:t>ort s</w:t>
            </w:r>
            <w:r w:rsidR="008F1B17">
              <w:t>taff training in accessibility and SEND</w:t>
            </w:r>
          </w:p>
        </w:tc>
        <w:tc>
          <w:tcPr>
            <w:tcW w:w="3637" w:type="dxa"/>
          </w:tcPr>
          <w:p w14:paraId="169FC3D5" w14:textId="77777777" w:rsidR="00F41AC9" w:rsidRDefault="008F1B17">
            <w:r>
              <w:t>Provide CPD on inclusive teaching strategies and communication.</w:t>
            </w:r>
          </w:p>
          <w:p w14:paraId="0A287C4D" w14:textId="77777777" w:rsidR="006F79D5" w:rsidRPr="006F79D5" w:rsidRDefault="006F79D5" w:rsidP="006F79D5">
            <w:pPr>
              <w:pStyle w:val="TableParagraph"/>
              <w:spacing w:before="52"/>
              <w:ind w:left="0" w:right="97"/>
              <w:rPr>
                <w:rFonts w:asciiTheme="minorHAnsi" w:eastAsiaTheme="minorEastAsia" w:hAnsiTheme="minorHAnsi" w:cstheme="minorBidi"/>
              </w:rPr>
            </w:pPr>
            <w:r w:rsidRPr="006F79D5">
              <w:rPr>
                <w:rFonts w:asciiTheme="minorHAnsi" w:eastAsiaTheme="minorEastAsia" w:hAnsiTheme="minorHAnsi" w:cstheme="minorBidi"/>
              </w:rPr>
              <w:t>To ensure support &amp; advice from relevant agencies is updated for existing pupils and sought for new pupils with disabilities.</w:t>
            </w:r>
          </w:p>
          <w:p w14:paraId="49FDCDCE" w14:textId="4E35591C" w:rsidR="006F79D5" w:rsidRDefault="006F79D5" w:rsidP="006F79D5">
            <w:r w:rsidRPr="006F79D5">
              <w:t>Reasonable adjustments are made to lessons where necessary.</w:t>
            </w:r>
          </w:p>
        </w:tc>
        <w:tc>
          <w:tcPr>
            <w:tcW w:w="1207" w:type="dxa"/>
          </w:tcPr>
          <w:p w14:paraId="28CD2FBB" w14:textId="1C06AB72" w:rsidR="00F41AC9" w:rsidRDefault="008F1B17">
            <w:r>
              <w:t>Annually</w:t>
            </w:r>
            <w:r w:rsidR="006F79D5">
              <w:t xml:space="preserve"> and then ongoing</w:t>
            </w:r>
          </w:p>
        </w:tc>
        <w:tc>
          <w:tcPr>
            <w:tcW w:w="1560" w:type="dxa"/>
          </w:tcPr>
          <w:p w14:paraId="62ACCEE1" w14:textId="47C69736" w:rsidR="00F41AC9" w:rsidRDefault="008F1B17">
            <w:r>
              <w:t>SENDCo / Headteacher</w:t>
            </w:r>
            <w:r w:rsidR="006F79D5">
              <w:t xml:space="preserve"> / Subject Leaders</w:t>
            </w:r>
          </w:p>
        </w:tc>
        <w:tc>
          <w:tcPr>
            <w:tcW w:w="2358" w:type="dxa"/>
          </w:tcPr>
          <w:p w14:paraId="1A89858D" w14:textId="66761D71" w:rsidR="00F41AC9" w:rsidRDefault="008F1B17">
            <w:r>
              <w:t xml:space="preserve">Staff </w:t>
            </w:r>
            <w:proofErr w:type="gramStart"/>
            <w:r>
              <w:t>confident</w:t>
            </w:r>
            <w:proofErr w:type="gramEnd"/>
            <w:r>
              <w:t xml:space="preserve"> in adapting provision for diverse needs.</w:t>
            </w:r>
            <w:r w:rsidR="006F79D5">
              <w:t xml:space="preserve"> </w:t>
            </w:r>
            <w:r w:rsidR="006F79D5" w:rsidRPr="006F79D5">
              <w:t>All pupils will be able to access all subjects and lessons in the curriculum.</w:t>
            </w:r>
          </w:p>
        </w:tc>
      </w:tr>
      <w:tr w:rsidR="00F41AC9" w14:paraId="34AA89DD" w14:textId="77777777" w:rsidTr="006F48F6">
        <w:trPr>
          <w:trHeight w:val="145"/>
        </w:trPr>
        <w:tc>
          <w:tcPr>
            <w:tcW w:w="2028" w:type="dxa"/>
          </w:tcPr>
          <w:p w14:paraId="40C213E4" w14:textId="77777777" w:rsidR="006F79D5" w:rsidRPr="007852DB" w:rsidRDefault="006F79D5" w:rsidP="007852DB">
            <w:r w:rsidRPr="007852DB">
              <w:t>To improve and make reasonable</w:t>
            </w:r>
          </w:p>
          <w:p w14:paraId="7081D689" w14:textId="77777777" w:rsidR="006F79D5" w:rsidRPr="007852DB" w:rsidRDefault="006F79D5" w:rsidP="007852DB">
            <w:r w:rsidRPr="007852DB">
              <w:t>adjustments to</w:t>
            </w:r>
          </w:p>
          <w:p w14:paraId="40104C44" w14:textId="77777777" w:rsidR="006F79D5" w:rsidRPr="007852DB" w:rsidRDefault="006F79D5" w:rsidP="007852DB">
            <w:r w:rsidRPr="007852DB">
              <w:lastRenderedPageBreak/>
              <w:t>information available to pupils, staff,</w:t>
            </w:r>
          </w:p>
          <w:p w14:paraId="4DF4BF97" w14:textId="77777777" w:rsidR="006F79D5" w:rsidRPr="007852DB" w:rsidRDefault="006F79D5" w:rsidP="007852DB">
            <w:r w:rsidRPr="007852DB">
              <w:t>parents and visitors.</w:t>
            </w:r>
          </w:p>
          <w:p w14:paraId="16A09858" w14:textId="22C560CF" w:rsidR="00F41AC9" w:rsidRDefault="00F41AC9" w:rsidP="007852DB"/>
        </w:tc>
        <w:tc>
          <w:tcPr>
            <w:tcW w:w="3637" w:type="dxa"/>
          </w:tcPr>
          <w:p w14:paraId="771BE489" w14:textId="5C4198B4" w:rsidR="006F79D5" w:rsidRPr="007852DB" w:rsidRDefault="006F79D5" w:rsidP="007852DB">
            <w:proofErr w:type="gramStart"/>
            <w:r w:rsidRPr="007852DB">
              <w:lastRenderedPageBreak/>
              <w:t>Ensure</w:t>
            </w:r>
            <w:proofErr w:type="gramEnd"/>
            <w:r w:rsidRPr="007852DB">
              <w:t xml:space="preserve"> information given to parents is written clearly and </w:t>
            </w:r>
            <w:proofErr w:type="gramStart"/>
            <w:r w:rsidRPr="007852DB">
              <w:t>technical</w:t>
            </w:r>
            <w:proofErr w:type="gramEnd"/>
            <w:r w:rsidRPr="007852DB">
              <w:t xml:space="preserve">, </w:t>
            </w:r>
            <w:proofErr w:type="gramStart"/>
            <w:r w:rsidRPr="007852DB">
              <w:t>education</w:t>
            </w:r>
            <w:proofErr w:type="gramEnd"/>
            <w:r w:rsidRPr="007852DB">
              <w:t xml:space="preserve"> language is kept to a minimum.</w:t>
            </w:r>
            <w:r w:rsidRPr="007852DB">
              <w:t xml:space="preserve"> </w:t>
            </w:r>
            <w:r>
              <w:t xml:space="preserve">Offer information in large print, easy-read, or translated </w:t>
            </w:r>
            <w:r>
              <w:lastRenderedPageBreak/>
              <w:t xml:space="preserve">versions. </w:t>
            </w:r>
            <w:r w:rsidR="008F1B17">
              <w:t xml:space="preserve">Ensure </w:t>
            </w:r>
            <w:proofErr w:type="gramStart"/>
            <w:r w:rsidR="008F1B17">
              <w:t>website meets</w:t>
            </w:r>
            <w:proofErr w:type="gramEnd"/>
            <w:r w:rsidR="008F1B17">
              <w:t xml:space="preserve"> accessibility standards.</w:t>
            </w:r>
            <w:r>
              <w:t xml:space="preserve"> </w:t>
            </w:r>
          </w:p>
          <w:p w14:paraId="041B4A4B" w14:textId="7F8C1366" w:rsidR="006F79D5" w:rsidRPr="007852DB" w:rsidRDefault="006F79D5" w:rsidP="007852DB">
            <w:r w:rsidRPr="007852DB">
              <w:t>The Local Offer is available on the</w:t>
            </w:r>
          </w:p>
          <w:p w14:paraId="25FDCFBA" w14:textId="77777777" w:rsidR="006F79D5" w:rsidRPr="007852DB" w:rsidRDefault="006F79D5" w:rsidP="007852DB">
            <w:r w:rsidRPr="007852DB">
              <w:t>school website.</w:t>
            </w:r>
          </w:p>
          <w:p w14:paraId="1516DA0E" w14:textId="677849C6" w:rsidR="006F79D5" w:rsidRPr="007852DB" w:rsidRDefault="006F79D5" w:rsidP="007852DB">
            <w:r w:rsidRPr="007852DB">
              <w:t>Whe</w:t>
            </w:r>
            <w:r w:rsidRPr="007852DB">
              <w:t>n required</w:t>
            </w:r>
            <w:r w:rsidRPr="007852DB">
              <w:t xml:space="preserve"> translators are used in meetings with</w:t>
            </w:r>
          </w:p>
          <w:p w14:paraId="28B80981" w14:textId="77777777" w:rsidR="006F79D5" w:rsidRPr="007852DB" w:rsidRDefault="006F79D5" w:rsidP="007852DB">
            <w:r w:rsidRPr="007852DB">
              <w:t>parents whose first language is not</w:t>
            </w:r>
          </w:p>
          <w:p w14:paraId="4F34B0C2" w14:textId="63C238CA" w:rsidR="006F79D5" w:rsidRPr="007852DB" w:rsidRDefault="006F79D5" w:rsidP="007852DB">
            <w:r w:rsidRPr="007852DB">
              <w:t>English.</w:t>
            </w:r>
            <w:r w:rsidRPr="007852DB">
              <w:t xml:space="preserve"> </w:t>
            </w:r>
          </w:p>
          <w:p w14:paraId="336DEA54" w14:textId="77777777" w:rsidR="006F79D5" w:rsidRPr="007852DB" w:rsidRDefault="006F79D5" w:rsidP="007852DB">
            <w:r w:rsidRPr="007852DB">
              <w:t>During initial home visit for all new</w:t>
            </w:r>
          </w:p>
          <w:p w14:paraId="2A013299" w14:textId="1AC368EB" w:rsidR="00F41AC9" w:rsidRDefault="006F79D5" w:rsidP="007852DB">
            <w:proofErr w:type="gramStart"/>
            <w:r w:rsidRPr="007852DB">
              <w:t>families they</w:t>
            </w:r>
            <w:proofErr w:type="gramEnd"/>
            <w:r w:rsidRPr="007852DB">
              <w:t xml:space="preserve"> are asked about any access needs they have.</w:t>
            </w:r>
          </w:p>
        </w:tc>
        <w:tc>
          <w:tcPr>
            <w:tcW w:w="1207" w:type="dxa"/>
          </w:tcPr>
          <w:p w14:paraId="0AFEEE21" w14:textId="77777777" w:rsidR="00F41AC9" w:rsidRDefault="008F1B17">
            <w:r>
              <w:lastRenderedPageBreak/>
              <w:t>Ongoing</w:t>
            </w:r>
          </w:p>
        </w:tc>
        <w:tc>
          <w:tcPr>
            <w:tcW w:w="1560" w:type="dxa"/>
          </w:tcPr>
          <w:p w14:paraId="71021398" w14:textId="77777777" w:rsidR="00F41AC9" w:rsidRDefault="008F1B17">
            <w:r>
              <w:t>Office Manager</w:t>
            </w:r>
          </w:p>
        </w:tc>
        <w:tc>
          <w:tcPr>
            <w:tcW w:w="2358" w:type="dxa"/>
          </w:tcPr>
          <w:p w14:paraId="77B6A37A" w14:textId="6AED1D5F" w:rsidR="00F41AC9" w:rsidRDefault="006F79D5">
            <w:r>
              <w:rPr>
                <w:sz w:val="24"/>
              </w:rPr>
              <w:t xml:space="preserve">All parents, pupils, staff and visitors will </w:t>
            </w:r>
            <w:r>
              <w:rPr>
                <w:sz w:val="24"/>
              </w:rPr>
              <w:t xml:space="preserve">access </w:t>
            </w:r>
            <w:r>
              <w:rPr>
                <w:sz w:val="24"/>
              </w:rPr>
              <w:t>information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z w:val="24"/>
              </w:rPr>
              <w:t xml:space="preserve">suitable formats </w:t>
            </w:r>
            <w:r>
              <w:rPr>
                <w:sz w:val="24"/>
              </w:rPr>
              <w:t xml:space="preserve">that they can </w:t>
            </w:r>
            <w:r>
              <w:rPr>
                <w:spacing w:val="-2"/>
                <w:sz w:val="24"/>
              </w:rPr>
              <w:t>access.</w:t>
            </w:r>
          </w:p>
        </w:tc>
      </w:tr>
      <w:tr w:rsidR="00E05ED9" w14:paraId="0BAE19FB" w14:textId="77777777" w:rsidTr="006F48F6">
        <w:trPr>
          <w:trHeight w:val="2588"/>
        </w:trPr>
        <w:tc>
          <w:tcPr>
            <w:tcW w:w="2028" w:type="dxa"/>
          </w:tcPr>
          <w:p w14:paraId="1C790C6C" w14:textId="5621D742" w:rsidR="00E05ED9" w:rsidRPr="00E05ED9" w:rsidRDefault="00E05ED9" w:rsidP="00E05ED9">
            <w:r>
              <w:t>Increase the extent to which pupils with disabilities can participate</w:t>
            </w:r>
            <w:r w:rsidRPr="007852DB">
              <w:t xml:space="preserve"> </w:t>
            </w:r>
            <w:r>
              <w:t>in</w:t>
            </w:r>
            <w:r w:rsidRPr="007852DB">
              <w:t xml:space="preserve"> </w:t>
            </w:r>
            <w:r>
              <w:t>the</w:t>
            </w:r>
            <w:r w:rsidRPr="007852DB">
              <w:t xml:space="preserve"> </w:t>
            </w:r>
            <w:r>
              <w:t xml:space="preserve">school </w:t>
            </w:r>
            <w:r w:rsidRPr="007852DB">
              <w:t>curriculum.</w:t>
            </w:r>
          </w:p>
        </w:tc>
        <w:tc>
          <w:tcPr>
            <w:tcW w:w="3637" w:type="dxa"/>
          </w:tcPr>
          <w:p w14:paraId="127FB5AC" w14:textId="6CCAD1E2" w:rsidR="00E05ED9" w:rsidRPr="007852DB" w:rsidRDefault="00E05ED9" w:rsidP="0010713A">
            <w:r w:rsidRPr="007852DB">
              <w:t xml:space="preserve">Relocate </w:t>
            </w:r>
            <w:r w:rsidR="0010713A">
              <w:t>p</w:t>
            </w:r>
            <w:r w:rsidRPr="007852DB">
              <w:t>upils to ground-floor classrooms where required. Review ground-floor room allocation annually.</w:t>
            </w:r>
            <w:r w:rsidRPr="007852DB">
              <w:t xml:space="preserve"> </w:t>
            </w:r>
          </w:p>
          <w:p w14:paraId="0CED8E95" w14:textId="5481CC19" w:rsidR="00E05ED9" w:rsidRPr="007852DB" w:rsidRDefault="00E05ED9" w:rsidP="0010713A">
            <w:r w:rsidRPr="007852DB">
              <w:t xml:space="preserve">Regular monitoring by leaders at </w:t>
            </w:r>
            <w:r w:rsidRPr="007852DB">
              <w:t>all levels</w:t>
            </w:r>
            <w:r w:rsidRPr="007852DB">
              <w:t xml:space="preserve"> of curriculum offered and progression made in line with the accessibility for individual pupils</w:t>
            </w:r>
          </w:p>
          <w:p w14:paraId="1083A015" w14:textId="77777777" w:rsidR="00E05ED9" w:rsidRPr="007852DB" w:rsidRDefault="00E05ED9" w:rsidP="0010713A">
            <w:r w:rsidRPr="007852DB">
              <w:t>Continue to seek specialist advice and support as appropriate.</w:t>
            </w:r>
          </w:p>
          <w:p w14:paraId="24A0F0B7" w14:textId="77777777" w:rsidR="00E05ED9" w:rsidRPr="007852DB" w:rsidRDefault="00E05ED9" w:rsidP="0010713A"/>
          <w:p w14:paraId="6ADE4A79" w14:textId="4D3F60F7" w:rsidR="00E05ED9" w:rsidRDefault="00E05ED9" w:rsidP="0010713A">
            <w:r>
              <w:t>Maintain all areas of the school to</w:t>
            </w:r>
            <w:r w:rsidRPr="007852DB">
              <w:t xml:space="preserve"> </w:t>
            </w:r>
            <w:r>
              <w:t>ensure</w:t>
            </w:r>
            <w:r w:rsidRPr="007852DB">
              <w:t xml:space="preserve"> </w:t>
            </w:r>
            <w:r>
              <w:t>full</w:t>
            </w:r>
            <w:r w:rsidRPr="007852DB">
              <w:t xml:space="preserve"> </w:t>
            </w:r>
            <w:r>
              <w:t>access</w:t>
            </w:r>
            <w:r w:rsidRPr="007852DB">
              <w:t xml:space="preserve"> </w:t>
            </w:r>
            <w:r>
              <w:t>to</w:t>
            </w:r>
            <w:r w:rsidRPr="007852DB">
              <w:t xml:space="preserve"> </w:t>
            </w:r>
            <w:r>
              <w:t>provision.</w:t>
            </w:r>
          </w:p>
        </w:tc>
        <w:tc>
          <w:tcPr>
            <w:tcW w:w="1207" w:type="dxa"/>
          </w:tcPr>
          <w:p w14:paraId="6CDBE97C" w14:textId="53E232B9" w:rsidR="00E05ED9" w:rsidRPr="00E05ED9" w:rsidRDefault="00E05ED9" w:rsidP="0010713A">
            <w:r>
              <w:t>Ongoing – reviewed</w:t>
            </w:r>
            <w:r w:rsidRPr="0010713A">
              <w:t xml:space="preserve"> </w:t>
            </w:r>
            <w:r>
              <w:t xml:space="preserve">each term or when a new </w:t>
            </w:r>
            <w:proofErr w:type="gramStart"/>
            <w:r>
              <w:t>pupils</w:t>
            </w:r>
            <w:proofErr w:type="gramEnd"/>
            <w:r>
              <w:t xml:space="preserve"> with a disability</w:t>
            </w:r>
            <w:r w:rsidRPr="0010713A">
              <w:t xml:space="preserve"> </w:t>
            </w:r>
            <w:r>
              <w:t xml:space="preserve">joins the </w:t>
            </w:r>
            <w:proofErr w:type="gramStart"/>
            <w:r w:rsidR="006F48F6">
              <w:t>School</w:t>
            </w:r>
            <w:proofErr w:type="gramEnd"/>
            <w:r>
              <w:t>.</w:t>
            </w:r>
          </w:p>
        </w:tc>
        <w:tc>
          <w:tcPr>
            <w:tcW w:w="1560" w:type="dxa"/>
          </w:tcPr>
          <w:p w14:paraId="014B66CE" w14:textId="77777777" w:rsidR="00E05ED9" w:rsidRPr="0010713A" w:rsidRDefault="00E05ED9" w:rsidP="00E05ED9">
            <w:pPr>
              <w:pStyle w:val="TableParagraph"/>
              <w:spacing w:before="6" w:line="265" w:lineRule="exact"/>
              <w:ind w:left="112"/>
              <w:rPr>
                <w:rFonts w:asciiTheme="minorHAnsi" w:eastAsiaTheme="minorEastAsia" w:hAnsiTheme="minorHAnsi" w:cstheme="minorBidi"/>
              </w:rPr>
            </w:pPr>
            <w:r w:rsidRPr="0010713A">
              <w:rPr>
                <w:rFonts w:asciiTheme="minorHAnsi" w:eastAsiaTheme="minorEastAsia" w:hAnsiTheme="minorHAnsi" w:cstheme="minorBidi"/>
              </w:rPr>
              <w:t>SLT</w:t>
            </w:r>
          </w:p>
          <w:p w14:paraId="44B39E5D" w14:textId="77777777" w:rsidR="00E05ED9" w:rsidRPr="0010713A" w:rsidRDefault="00E05ED9" w:rsidP="00E05ED9">
            <w:pPr>
              <w:jc w:val="center"/>
            </w:pPr>
            <w:r w:rsidRPr="0010713A">
              <w:t>Classroom teachers</w:t>
            </w:r>
          </w:p>
          <w:p w14:paraId="4B9918AE" w14:textId="77777777" w:rsidR="00E05ED9" w:rsidRDefault="00E05ED9"/>
        </w:tc>
        <w:tc>
          <w:tcPr>
            <w:tcW w:w="2358" w:type="dxa"/>
          </w:tcPr>
          <w:p w14:paraId="1AB6F4D7" w14:textId="77DB9A11" w:rsidR="00E05ED9" w:rsidRPr="0010713A" w:rsidRDefault="00E05ED9" w:rsidP="0010713A">
            <w:pPr>
              <w:pStyle w:val="TableParagraph"/>
              <w:ind w:left="0" w:right="44"/>
              <w:rPr>
                <w:rFonts w:asciiTheme="minorHAnsi" w:eastAsiaTheme="minorEastAsia" w:hAnsiTheme="minorHAnsi" w:cstheme="minorBidi"/>
              </w:rPr>
            </w:pPr>
            <w:r w:rsidRPr="0010713A">
              <w:rPr>
                <w:rFonts w:asciiTheme="minorHAnsi" w:eastAsiaTheme="minorEastAsia" w:hAnsiTheme="minorHAnsi" w:cstheme="minorBidi"/>
              </w:rPr>
              <w:t>Pupils with mobility needs can access full-time education without restriction.</w:t>
            </w:r>
          </w:p>
          <w:p w14:paraId="6A39C9B0" w14:textId="7EDA608D" w:rsidR="00E05ED9" w:rsidRPr="0010713A" w:rsidRDefault="00E05ED9" w:rsidP="0010713A">
            <w:pPr>
              <w:pStyle w:val="TableParagraph"/>
              <w:ind w:left="0" w:right="44"/>
              <w:rPr>
                <w:rFonts w:asciiTheme="minorHAnsi" w:eastAsiaTheme="minorEastAsia" w:hAnsiTheme="minorHAnsi" w:cstheme="minorBidi"/>
              </w:rPr>
            </w:pPr>
            <w:r w:rsidRPr="0010713A">
              <w:rPr>
                <w:rFonts w:asciiTheme="minorHAnsi" w:eastAsiaTheme="minorEastAsia" w:hAnsiTheme="minorHAnsi" w:cstheme="minorBidi"/>
              </w:rPr>
              <w:t>Deliberate and effective action is taken to promote pupils’ spiritual, moral, social and cultural development and their physical well-being:</w:t>
            </w:r>
          </w:p>
          <w:p w14:paraId="4B54B4EF" w14:textId="45FB4286" w:rsidR="00E05ED9" w:rsidRDefault="00E05ED9" w:rsidP="00E05ED9">
            <w:r>
              <w:t>All</w:t>
            </w:r>
            <w:r w:rsidRPr="0010713A">
              <w:t xml:space="preserve"> </w:t>
            </w:r>
            <w:r>
              <w:t>pupils</w:t>
            </w:r>
            <w:r w:rsidRPr="0010713A">
              <w:t xml:space="preserve"> </w:t>
            </w:r>
            <w:r>
              <w:t>able</w:t>
            </w:r>
            <w:r w:rsidRPr="0010713A">
              <w:t xml:space="preserve"> </w:t>
            </w:r>
            <w:r>
              <w:t>to</w:t>
            </w:r>
            <w:r w:rsidRPr="0010713A">
              <w:t xml:space="preserve"> </w:t>
            </w:r>
            <w:r>
              <w:t>access</w:t>
            </w:r>
            <w:r w:rsidRPr="0010713A">
              <w:t xml:space="preserve"> </w:t>
            </w:r>
            <w:r>
              <w:t>all areas of the curriculum.</w:t>
            </w:r>
          </w:p>
        </w:tc>
      </w:tr>
    </w:tbl>
    <w:p w14:paraId="73CEF4F0" w14:textId="77777777" w:rsidR="00F41AC9" w:rsidRDefault="008F1B17">
      <w:pPr>
        <w:pStyle w:val="Heading2"/>
      </w:pPr>
      <w:r>
        <w:t>5. Monitoring and Review</w:t>
      </w:r>
    </w:p>
    <w:p w14:paraId="659794B9" w14:textId="77777777" w:rsidR="00F41AC9" w:rsidRDefault="008F1B17">
      <w:r>
        <w:t>- The Governing Body will review this plan every three years, with annual progress reviews.</w:t>
      </w:r>
      <w:r>
        <w:br/>
        <w:t>- Progress will be reported through the Headteacher’s report to Governors.</w:t>
      </w:r>
      <w:r>
        <w:br/>
        <w:t>- The plan is available on the school website and on request from the school office.</w:t>
      </w:r>
    </w:p>
    <w:p w14:paraId="03315F98" w14:textId="77777777" w:rsidR="00F41AC9" w:rsidRDefault="008F1B17">
      <w:pPr>
        <w:pStyle w:val="Heading2"/>
      </w:pPr>
      <w:r>
        <w:t>6. Linked Policies</w:t>
      </w:r>
    </w:p>
    <w:p w14:paraId="182CEA4A" w14:textId="77777777" w:rsidR="00F41AC9" w:rsidRDefault="008F1B17">
      <w:r>
        <w:t>- Special Educational Needs (SEND) Policy</w:t>
      </w:r>
      <w:r>
        <w:br/>
        <w:t>- Equality and Diversity Policy</w:t>
      </w:r>
      <w:r>
        <w:br/>
        <w:t>- Health and Safety Policy</w:t>
      </w:r>
      <w:r>
        <w:br/>
        <w:t>- Fire Safety and Lockdown Policy</w:t>
      </w:r>
      <w:r>
        <w:br/>
        <w:t>- Safeguarding and Child Protection Policy</w:t>
      </w:r>
    </w:p>
    <w:p w14:paraId="64FB7BE4" w14:textId="77777777" w:rsidR="00D54BEA" w:rsidRDefault="00D54BEA"/>
    <w:p w14:paraId="324B684C" w14:textId="77777777" w:rsidR="00D54BEA" w:rsidRDefault="00D54BEA"/>
    <w:p w14:paraId="3CDB9FC1" w14:textId="3AD9541F" w:rsidR="00D54BEA" w:rsidRDefault="00D54BEA" w:rsidP="00D54BEA">
      <w:r>
        <w:t>Approved by Governing Body: September 2025</w:t>
      </w:r>
    </w:p>
    <w:p w14:paraId="508C8043" w14:textId="3AFF3414" w:rsidR="00D54BEA" w:rsidRDefault="00D54BEA" w:rsidP="00D54BEA">
      <w:r>
        <w:t>Review Date: September 2028</w:t>
      </w:r>
    </w:p>
    <w:p w14:paraId="39215951" w14:textId="6B2F1FA0" w:rsidR="00D54BEA" w:rsidRDefault="00D54BEA" w:rsidP="00D54BEA">
      <w:r>
        <w:t xml:space="preserve">Headteacher: </w:t>
      </w:r>
      <w:proofErr w:type="spellStart"/>
      <w:r>
        <w:t>Ifsheen</w:t>
      </w:r>
      <w:proofErr w:type="spellEnd"/>
      <w:r>
        <w:t xml:space="preserve"> Akhtar</w:t>
      </w:r>
    </w:p>
    <w:p w14:paraId="4F6C3D22" w14:textId="445D7A37" w:rsidR="00D54BEA" w:rsidRDefault="4FD97861" w:rsidP="00D54BEA">
      <w:r>
        <w:t xml:space="preserve">SENDCo: </w:t>
      </w:r>
      <w:r w:rsidR="00441346">
        <w:t>Helen Wrightson</w:t>
      </w:r>
    </w:p>
    <w:p w14:paraId="4B44D1FA" w14:textId="4020C61F" w:rsidR="00D54BEA" w:rsidRDefault="00D54BEA"/>
    <w:sectPr w:rsidR="00D54BEA" w:rsidSect="006F79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447F6" w14:textId="77777777" w:rsidR="00AF2531" w:rsidRDefault="00AF2531" w:rsidP="006F48F6">
      <w:pPr>
        <w:spacing w:after="0" w:line="240" w:lineRule="auto"/>
      </w:pPr>
      <w:r>
        <w:separator/>
      </w:r>
    </w:p>
  </w:endnote>
  <w:endnote w:type="continuationSeparator" w:id="0">
    <w:p w14:paraId="21968D05" w14:textId="77777777" w:rsidR="00AF2531" w:rsidRDefault="00AF2531" w:rsidP="006F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1E7AB" w14:textId="77777777" w:rsidR="00AF2531" w:rsidRDefault="00AF2531" w:rsidP="006F48F6">
      <w:pPr>
        <w:spacing w:after="0" w:line="240" w:lineRule="auto"/>
      </w:pPr>
      <w:r>
        <w:separator/>
      </w:r>
    </w:p>
  </w:footnote>
  <w:footnote w:type="continuationSeparator" w:id="0">
    <w:p w14:paraId="6B7F53CB" w14:textId="77777777" w:rsidR="00AF2531" w:rsidRDefault="00AF2531" w:rsidP="006F4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1C1776"/>
    <w:multiLevelType w:val="hybridMultilevel"/>
    <w:tmpl w:val="F1307A20"/>
    <w:lvl w:ilvl="0" w:tplc="BDCA7F42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6C735A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  <w:lvl w:ilvl="2" w:tplc="C5E20378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3" w:tplc="8410CCBC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C3EA88C4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5" w:tplc="57FE43EE">
      <w:numFmt w:val="bullet"/>
      <w:lvlText w:val="•"/>
      <w:lvlJc w:val="left"/>
      <w:pPr>
        <w:ind w:left="6581" w:hanging="360"/>
      </w:pPr>
      <w:rPr>
        <w:rFonts w:hint="default"/>
        <w:lang w:val="en-US" w:eastAsia="en-US" w:bidi="ar-SA"/>
      </w:rPr>
    </w:lvl>
    <w:lvl w:ilvl="6" w:tplc="6ABE6D02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  <w:lvl w:ilvl="7" w:tplc="4D5671DA">
      <w:numFmt w:val="bullet"/>
      <w:lvlText w:val="•"/>
      <w:lvlJc w:val="left"/>
      <w:pPr>
        <w:ind w:left="8878" w:hanging="360"/>
      </w:pPr>
      <w:rPr>
        <w:rFonts w:hint="default"/>
        <w:lang w:val="en-US" w:eastAsia="en-US" w:bidi="ar-SA"/>
      </w:rPr>
    </w:lvl>
    <w:lvl w:ilvl="8" w:tplc="37B6BDAE">
      <w:numFmt w:val="bullet"/>
      <w:lvlText w:val="•"/>
      <w:lvlJc w:val="left"/>
      <w:pPr>
        <w:ind w:left="10026" w:hanging="360"/>
      </w:pPr>
      <w:rPr>
        <w:rFonts w:hint="default"/>
        <w:lang w:val="en-US" w:eastAsia="en-US" w:bidi="ar-SA"/>
      </w:rPr>
    </w:lvl>
  </w:abstractNum>
  <w:num w:numId="1" w16cid:durableId="1180776348">
    <w:abstractNumId w:val="8"/>
  </w:num>
  <w:num w:numId="2" w16cid:durableId="1347291414">
    <w:abstractNumId w:val="6"/>
  </w:num>
  <w:num w:numId="3" w16cid:durableId="1986424913">
    <w:abstractNumId w:val="5"/>
  </w:num>
  <w:num w:numId="4" w16cid:durableId="1192959792">
    <w:abstractNumId w:val="4"/>
  </w:num>
  <w:num w:numId="5" w16cid:durableId="217713990">
    <w:abstractNumId w:val="7"/>
  </w:num>
  <w:num w:numId="6" w16cid:durableId="2086759194">
    <w:abstractNumId w:val="3"/>
  </w:num>
  <w:num w:numId="7" w16cid:durableId="2050833381">
    <w:abstractNumId w:val="2"/>
  </w:num>
  <w:num w:numId="8" w16cid:durableId="1425609852">
    <w:abstractNumId w:val="1"/>
  </w:num>
  <w:num w:numId="9" w16cid:durableId="1225339215">
    <w:abstractNumId w:val="0"/>
  </w:num>
  <w:num w:numId="10" w16cid:durableId="3799401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714"/>
    <w:rsid w:val="0010713A"/>
    <w:rsid w:val="0015074B"/>
    <w:rsid w:val="0029639D"/>
    <w:rsid w:val="00326F90"/>
    <w:rsid w:val="003B7C9F"/>
    <w:rsid w:val="0043666C"/>
    <w:rsid w:val="00441346"/>
    <w:rsid w:val="006A7598"/>
    <w:rsid w:val="006F48F6"/>
    <w:rsid w:val="006F79D5"/>
    <w:rsid w:val="007852DB"/>
    <w:rsid w:val="008F1B17"/>
    <w:rsid w:val="00961606"/>
    <w:rsid w:val="00AA1D8D"/>
    <w:rsid w:val="00AE0432"/>
    <w:rsid w:val="00AF2531"/>
    <w:rsid w:val="00B47730"/>
    <w:rsid w:val="00BC32B0"/>
    <w:rsid w:val="00CB0664"/>
    <w:rsid w:val="00D54BEA"/>
    <w:rsid w:val="00D552A6"/>
    <w:rsid w:val="00DF37BE"/>
    <w:rsid w:val="00E05ED9"/>
    <w:rsid w:val="00EC60A4"/>
    <w:rsid w:val="00ED7BD9"/>
    <w:rsid w:val="00F41AC9"/>
    <w:rsid w:val="00FC693F"/>
    <w:rsid w:val="01CCE5AA"/>
    <w:rsid w:val="02BFD86A"/>
    <w:rsid w:val="04873A23"/>
    <w:rsid w:val="0A0B1FA9"/>
    <w:rsid w:val="0FF6EC34"/>
    <w:rsid w:val="13557491"/>
    <w:rsid w:val="149D10CB"/>
    <w:rsid w:val="1F25C844"/>
    <w:rsid w:val="246544EC"/>
    <w:rsid w:val="32D826C5"/>
    <w:rsid w:val="33974114"/>
    <w:rsid w:val="36C5D175"/>
    <w:rsid w:val="3B8213E8"/>
    <w:rsid w:val="4FD97861"/>
    <w:rsid w:val="59EA5D08"/>
    <w:rsid w:val="5A5E1931"/>
    <w:rsid w:val="6A34D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1922E2"/>
  <w14:defaultImageDpi w14:val="300"/>
  <w15:docId w15:val="{1883E762-D245-4A75-A8B3-F0805FA8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Normal"/>
    <w:uiPriority w:val="1"/>
    <w:qFormat/>
    <w:rsid w:val="006F79D5"/>
    <w:pPr>
      <w:widowControl w:val="0"/>
      <w:autoSpaceDE w:val="0"/>
      <w:autoSpaceDN w:val="0"/>
      <w:spacing w:after="0" w:line="240" w:lineRule="auto"/>
      <w:ind w:left="104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9DABD92D1E64792014310496DD562" ma:contentTypeVersion="8" ma:contentTypeDescription="Create a new document." ma:contentTypeScope="" ma:versionID="fb7560edac40ce00a0c99fe63f2b65d6">
  <xsd:schema xmlns:xsd="http://www.w3.org/2001/XMLSchema" xmlns:xs="http://www.w3.org/2001/XMLSchema" xmlns:p="http://schemas.microsoft.com/office/2006/metadata/properties" xmlns:ns2="345ac21f-9042-4bfa-b863-a2470e441442" targetNamespace="http://schemas.microsoft.com/office/2006/metadata/properties" ma:root="true" ma:fieldsID="7e8e8c99de5296dbb9e1143b0330af90" ns2:_="">
    <xsd:import namespace="345ac21f-9042-4bfa-b863-a2470e441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ac21f-9042-4bfa-b863-a2470e441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2E8F18-BCC6-4CB3-91C3-D249D2F727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1E9BCA-A1A5-46F2-83F2-C86A535B53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84A8D1-CAF9-45EC-9748-F3C077A60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ac21f-9042-4bfa-b863-a2470e441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Helen Wrightson</cp:lastModifiedBy>
  <cp:revision>2</cp:revision>
  <dcterms:created xsi:type="dcterms:W3CDTF">2026-02-10T13:58:00Z</dcterms:created>
  <dcterms:modified xsi:type="dcterms:W3CDTF">2026-02-10T13:58:00Z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0x010100C4F9DABD92D1E64792014310496DD562</vt:lpwstr>
  </property>
</Properties>
</file>