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623B" w14:textId="21FD6F41" w:rsidR="00C87F64" w:rsidRDefault="00C87F64" w:rsidP="00C87F64">
      <w:pPr>
        <w:spacing w:after="5" w:line="250" w:lineRule="auto"/>
        <w:ind w:left="10" w:right="1" w:hanging="10"/>
        <w:jc w:val="center"/>
        <w:rPr>
          <w:b/>
          <w:bCs/>
          <w:sz w:val="96"/>
          <w:szCs w:val="96"/>
        </w:rPr>
      </w:pPr>
      <w:r w:rsidRPr="7AB45EFA">
        <w:rPr>
          <w:b/>
          <w:bCs/>
          <w:sz w:val="96"/>
          <w:szCs w:val="96"/>
        </w:rPr>
        <w:t>Whistle Blowing Policy</w:t>
      </w:r>
    </w:p>
    <w:p w14:paraId="31852909" w14:textId="5725EA9C" w:rsidR="00C87F64" w:rsidRPr="000470CD" w:rsidRDefault="00C87F64" w:rsidP="00C87F64">
      <w:pPr>
        <w:jc w:val="center"/>
        <w:rPr>
          <w:b/>
          <w:bCs/>
          <w:sz w:val="96"/>
          <w:szCs w:val="96"/>
        </w:rPr>
      </w:pPr>
      <w:r w:rsidRPr="7AB45EFA">
        <w:rPr>
          <w:b/>
          <w:bCs/>
          <w:sz w:val="96"/>
          <w:szCs w:val="96"/>
        </w:rPr>
        <w:t>202</w:t>
      </w:r>
      <w:r w:rsidR="000470CD" w:rsidRPr="7AB45EFA">
        <w:rPr>
          <w:b/>
          <w:bCs/>
          <w:sz w:val="96"/>
          <w:szCs w:val="96"/>
        </w:rPr>
        <w:t>5</w:t>
      </w:r>
      <w:r w:rsidRPr="7AB45EFA">
        <w:rPr>
          <w:b/>
          <w:bCs/>
          <w:sz w:val="96"/>
          <w:szCs w:val="96"/>
        </w:rPr>
        <w:t>-202</w:t>
      </w:r>
      <w:r w:rsidR="000470CD" w:rsidRPr="7AB45EFA">
        <w:rPr>
          <w:b/>
          <w:bCs/>
          <w:sz w:val="96"/>
          <w:szCs w:val="96"/>
        </w:rPr>
        <w:t>6</w:t>
      </w:r>
    </w:p>
    <w:p w14:paraId="4315ADBD" w14:textId="39442EC0" w:rsidR="7AB45EFA" w:rsidRDefault="00C25869" w:rsidP="7AB45EFA">
      <w:pPr>
        <w:jc w:val="center"/>
        <w:rPr>
          <w:b/>
          <w:bCs/>
          <w:sz w:val="96"/>
          <w:szCs w:val="96"/>
        </w:rPr>
      </w:pPr>
      <w:r>
        <w:rPr>
          <w:noProof/>
        </w:rPr>
        <w:drawing>
          <wp:anchor distT="0" distB="0" distL="114300" distR="114300" simplePos="0" relativeHeight="251659264" behindDoc="0" locked="0" layoutInCell="1" allowOverlap="1" wp14:anchorId="45AE345D" wp14:editId="05A841EC">
            <wp:simplePos x="0" y="0"/>
            <wp:positionH relativeFrom="column">
              <wp:posOffset>2049780</wp:posOffset>
            </wp:positionH>
            <wp:positionV relativeFrom="paragraph">
              <wp:posOffset>22225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r>
        <w:rPr>
          <w:noProof/>
        </w:rPr>
        <w:drawing>
          <wp:anchor distT="0" distB="0" distL="114300" distR="114300" simplePos="0" relativeHeight="251660288" behindDoc="0" locked="0" layoutInCell="1" allowOverlap="1" wp14:anchorId="0B622A7E" wp14:editId="0FD1FB74">
            <wp:simplePos x="0" y="0"/>
            <wp:positionH relativeFrom="column">
              <wp:posOffset>2049780</wp:posOffset>
            </wp:positionH>
            <wp:positionV relativeFrom="paragraph">
              <wp:posOffset>1637665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0120A6F3" w14:textId="5DE038BC" w:rsidR="07018E48" w:rsidRDefault="07018E48" w:rsidP="7AB45EFA">
      <w:pPr>
        <w:jc w:val="center"/>
        <w:rPr>
          <w:noProof/>
        </w:rPr>
      </w:pPr>
    </w:p>
    <w:p w14:paraId="18E797DE" w14:textId="3FBDAAB2" w:rsidR="00FD62DA" w:rsidRDefault="00FD62DA" w:rsidP="7AB45EFA">
      <w:pPr>
        <w:jc w:val="center"/>
        <w:rPr>
          <w:noProof/>
        </w:rPr>
      </w:pPr>
    </w:p>
    <w:p w14:paraId="2B2B2A53" w14:textId="1094F161" w:rsidR="00FD62DA" w:rsidRDefault="00FD62DA" w:rsidP="7AB45EFA">
      <w:pPr>
        <w:jc w:val="center"/>
        <w:rPr>
          <w:noProof/>
        </w:rPr>
      </w:pPr>
    </w:p>
    <w:p w14:paraId="4C4F6A42" w14:textId="77777777" w:rsidR="00FD62DA" w:rsidRDefault="00FD62DA" w:rsidP="7AB45EFA">
      <w:pPr>
        <w:jc w:val="center"/>
        <w:rPr>
          <w:noProof/>
        </w:rPr>
      </w:pPr>
    </w:p>
    <w:p w14:paraId="7280D8F6" w14:textId="77777777" w:rsidR="00FD62DA" w:rsidRDefault="00FD62DA" w:rsidP="7AB45EFA">
      <w:pPr>
        <w:jc w:val="center"/>
        <w:rPr>
          <w:noProof/>
        </w:rPr>
      </w:pPr>
    </w:p>
    <w:p w14:paraId="0D5445F8" w14:textId="77777777" w:rsidR="00FD62DA" w:rsidRDefault="00FD62DA" w:rsidP="7AB45EFA">
      <w:pPr>
        <w:jc w:val="center"/>
        <w:rPr>
          <w:noProof/>
        </w:rPr>
      </w:pPr>
    </w:p>
    <w:p w14:paraId="0B4BD2AC" w14:textId="77777777" w:rsidR="00FD62DA" w:rsidRDefault="00FD62DA" w:rsidP="7AB45EFA">
      <w:pPr>
        <w:jc w:val="center"/>
        <w:rPr>
          <w:noProof/>
        </w:rPr>
      </w:pPr>
    </w:p>
    <w:p w14:paraId="3634B4B6" w14:textId="77777777" w:rsidR="00FD62DA" w:rsidRDefault="00FD62DA" w:rsidP="7AB45EFA">
      <w:pPr>
        <w:jc w:val="center"/>
        <w:rPr>
          <w:noProof/>
        </w:rPr>
      </w:pPr>
    </w:p>
    <w:p w14:paraId="2F4E3A94" w14:textId="77777777" w:rsidR="00FD62DA" w:rsidRDefault="00FD62DA" w:rsidP="7AB45EFA">
      <w:pPr>
        <w:jc w:val="center"/>
        <w:rPr>
          <w:noProof/>
        </w:rPr>
      </w:pPr>
    </w:p>
    <w:p w14:paraId="514E0D36" w14:textId="77777777" w:rsidR="00FD62DA" w:rsidRDefault="00FD62DA" w:rsidP="7AB45EFA">
      <w:pPr>
        <w:jc w:val="center"/>
        <w:rPr>
          <w:noProof/>
        </w:rPr>
      </w:pPr>
    </w:p>
    <w:p w14:paraId="34CEAE48" w14:textId="77777777" w:rsidR="00FD62DA" w:rsidRDefault="00FD62DA" w:rsidP="7AB45EFA">
      <w:pPr>
        <w:jc w:val="center"/>
      </w:pPr>
    </w:p>
    <w:p w14:paraId="14B6FB83" w14:textId="77777777" w:rsidR="00C87F64" w:rsidRDefault="00C87F64" w:rsidP="00C87F64">
      <w:pPr>
        <w:rPr>
          <w:b/>
          <w:bCs/>
        </w:rPr>
      </w:pPr>
    </w:p>
    <w:p w14:paraId="79872A4F" w14:textId="77777777" w:rsidR="000470CD" w:rsidRPr="00C87F64" w:rsidRDefault="000470CD" w:rsidP="00C87F64">
      <w:pPr>
        <w:rPr>
          <w:b/>
          <w:bC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C87F64" w:rsidRPr="00C87F64" w14:paraId="4B53C550" w14:textId="77777777" w:rsidTr="00DC40BC">
        <w:tc>
          <w:tcPr>
            <w:tcW w:w="2596" w:type="dxa"/>
            <w:tcBorders>
              <w:bottom w:val="single" w:sz="18" w:space="0" w:color="FFFFFF"/>
            </w:tcBorders>
            <w:shd w:val="clear" w:color="auto" w:fill="D8DFDE"/>
            <w:tcMar>
              <w:top w:w="57" w:type="dxa"/>
              <w:left w:w="113" w:type="dxa"/>
              <w:bottom w:w="57" w:type="dxa"/>
              <w:right w:w="113" w:type="dxa"/>
            </w:tcMar>
            <w:hideMark/>
          </w:tcPr>
          <w:p w14:paraId="4ADB8903" w14:textId="77777777" w:rsidR="00C87F64" w:rsidRPr="00C87F64" w:rsidRDefault="00C87F64" w:rsidP="00C87F64">
            <w:r w:rsidRPr="00C87F64">
              <w:rPr>
                <w:b/>
                <w:bC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6324094F" w14:textId="77777777" w:rsidR="00C87F64" w:rsidRPr="00C87F64" w:rsidRDefault="00C87F64" w:rsidP="00C87F64">
            <w:r w:rsidRPr="00C87F64">
              <w:t>Governors</w:t>
            </w:r>
          </w:p>
        </w:tc>
        <w:tc>
          <w:tcPr>
            <w:tcW w:w="3876" w:type="dxa"/>
            <w:tcBorders>
              <w:bottom w:val="single" w:sz="18" w:space="0" w:color="FFFFFF"/>
            </w:tcBorders>
            <w:shd w:val="clear" w:color="auto" w:fill="D8DFDE"/>
            <w:tcMar>
              <w:top w:w="57" w:type="dxa"/>
              <w:left w:w="113" w:type="dxa"/>
              <w:bottom w:w="57" w:type="dxa"/>
              <w:right w:w="113" w:type="dxa"/>
            </w:tcMar>
            <w:hideMark/>
          </w:tcPr>
          <w:p w14:paraId="78861801" w14:textId="651556E4" w:rsidR="00C87F64" w:rsidRPr="00C87F64" w:rsidRDefault="00C87F64" w:rsidP="00C87F64">
            <w:r w:rsidRPr="00C87F64">
              <w:rPr>
                <w:b/>
                <w:bCs/>
              </w:rPr>
              <w:t>Date:</w:t>
            </w:r>
            <w:r w:rsidRPr="00C87F64">
              <w:t xml:space="preserve"> </w:t>
            </w:r>
            <w:r w:rsidR="006046E5">
              <w:t>Sep</w:t>
            </w:r>
            <w:r w:rsidRPr="00C87F64">
              <w:t xml:space="preserve"> 202</w:t>
            </w:r>
            <w:r w:rsidR="00242FDE">
              <w:t>5</w:t>
            </w:r>
          </w:p>
        </w:tc>
      </w:tr>
      <w:tr w:rsidR="00C87F64" w:rsidRPr="00C87F64" w14:paraId="174C1BE2" w14:textId="77777777" w:rsidTr="00DC40BC">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67C57E14" w14:textId="77777777" w:rsidR="00C87F64" w:rsidRPr="00C87F64" w:rsidRDefault="00C87F64" w:rsidP="00C87F64">
            <w:r w:rsidRPr="00C87F64">
              <w:rPr>
                <w:b/>
                <w:bCs/>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1E82B450" w14:textId="68EEE494" w:rsidR="00C87F64" w:rsidRPr="00C87F64" w:rsidRDefault="006046E5" w:rsidP="00C87F64">
            <w:r>
              <w:t>Sep</w:t>
            </w:r>
            <w:r w:rsidR="00C87F64" w:rsidRPr="00C87F64">
              <w:t xml:space="preserve"> 202</w:t>
            </w:r>
            <w:r w:rsidR="00242FDE">
              <w:t>5</w:t>
            </w:r>
          </w:p>
        </w:tc>
      </w:tr>
      <w:tr w:rsidR="00C87F64" w:rsidRPr="00C87F64" w14:paraId="63AA262A" w14:textId="77777777" w:rsidTr="00DC40BC">
        <w:tc>
          <w:tcPr>
            <w:tcW w:w="2596" w:type="dxa"/>
            <w:tcBorders>
              <w:top w:val="single" w:sz="18" w:space="0" w:color="FFFFFF"/>
            </w:tcBorders>
            <w:shd w:val="clear" w:color="auto" w:fill="D8DFDE"/>
            <w:tcMar>
              <w:top w:w="57" w:type="dxa"/>
              <w:left w:w="113" w:type="dxa"/>
              <w:bottom w:w="57" w:type="dxa"/>
              <w:right w:w="113" w:type="dxa"/>
            </w:tcMar>
            <w:hideMark/>
          </w:tcPr>
          <w:p w14:paraId="5DD67721" w14:textId="77777777" w:rsidR="00C87F64" w:rsidRPr="00C87F64" w:rsidRDefault="00C87F64" w:rsidP="00C87F64">
            <w:r w:rsidRPr="00C87F64">
              <w:rPr>
                <w:b/>
                <w:bCs/>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07A51884" w14:textId="2F5D192E" w:rsidR="00C87F64" w:rsidRPr="00C87F64" w:rsidRDefault="00C87F64" w:rsidP="00C87F64">
            <w:r w:rsidRPr="00C87F64">
              <w:t>Sep 202</w:t>
            </w:r>
            <w:r w:rsidR="000470CD">
              <w:t>6</w:t>
            </w:r>
          </w:p>
        </w:tc>
      </w:tr>
    </w:tbl>
    <w:p w14:paraId="7B0037D5" w14:textId="77777777" w:rsidR="00C87F64" w:rsidRDefault="00C87F64">
      <w:pPr>
        <w:rPr>
          <w:lang w:val="en-US"/>
        </w:rPr>
      </w:pPr>
    </w:p>
    <w:p w14:paraId="636A6774" w14:textId="77777777"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bookmarkStart w:id="0" w:name="_Toc157062990"/>
      <w:r w:rsidRPr="00C87F64">
        <w:rPr>
          <w:rFonts w:ascii="Arial" w:eastAsia="Arial" w:hAnsi="Arial" w:cs="Arial"/>
          <w:b/>
          <w:color w:val="FF1F64"/>
          <w:kern w:val="0"/>
          <w:sz w:val="28"/>
          <w:szCs w:val="28"/>
          <w14:ligatures w14:val="none"/>
        </w:rPr>
        <w:t>1. Aims</w:t>
      </w:r>
      <w:bookmarkEnd w:id="0"/>
    </w:p>
    <w:p w14:paraId="040FB4FF" w14:textId="77777777" w:rsidR="00C87F64" w:rsidRPr="00C87F64"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This policy aims to:</w:t>
      </w:r>
    </w:p>
    <w:p w14:paraId="699F44AB" w14:textId="77777777" w:rsidR="00C87F64" w:rsidRPr="00C87F64" w:rsidRDefault="00C87F64" w:rsidP="00C87F64">
      <w:pPr>
        <w:numPr>
          <w:ilvl w:val="0"/>
          <w:numId w:val="2"/>
        </w:numPr>
        <w:spacing w:after="120" w:line="240" w:lineRule="auto"/>
        <w:ind w:left="340" w:hanging="261"/>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Encourage individuals affected to report suspected wrongdoing as soon as possible in the knowledge that their concerns will be taken seriously and investigated, and that their confidentiality will be respected</w:t>
      </w:r>
    </w:p>
    <w:p w14:paraId="1E1A5081" w14:textId="77777777" w:rsidR="00C87F64" w:rsidRPr="00C87F64" w:rsidRDefault="00C87F64" w:rsidP="00C87F64">
      <w:pPr>
        <w:numPr>
          <w:ilvl w:val="0"/>
          <w:numId w:val="2"/>
        </w:numPr>
        <w:spacing w:after="120" w:line="240" w:lineRule="auto"/>
        <w:ind w:left="340" w:hanging="261"/>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Let all staff in the trust know how to raise concerns about potential wrongdoing in or by the trust</w:t>
      </w:r>
    </w:p>
    <w:p w14:paraId="728F2C6B" w14:textId="77777777" w:rsidR="00C87F64" w:rsidRPr="00C87F64" w:rsidRDefault="00C87F64" w:rsidP="00C87F64">
      <w:pPr>
        <w:numPr>
          <w:ilvl w:val="0"/>
          <w:numId w:val="2"/>
        </w:numPr>
        <w:spacing w:after="120" w:line="240" w:lineRule="auto"/>
        <w:ind w:left="340" w:hanging="261"/>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Set clear procedures for how the trust will respond to such concerns</w:t>
      </w:r>
    </w:p>
    <w:p w14:paraId="79A7F09D" w14:textId="77777777" w:rsidR="00C87F64" w:rsidRPr="00C87F64" w:rsidRDefault="00C87F64" w:rsidP="00C87F64">
      <w:pPr>
        <w:numPr>
          <w:ilvl w:val="0"/>
          <w:numId w:val="2"/>
        </w:numPr>
        <w:spacing w:after="120" w:line="240" w:lineRule="auto"/>
        <w:ind w:left="340" w:hanging="261"/>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Let all staff know the protection available to them if they raise a whistle-blowing concern</w:t>
      </w:r>
    </w:p>
    <w:p w14:paraId="759B6374" w14:textId="6A3C9C06" w:rsidR="00C87F64" w:rsidRPr="00C87F64" w:rsidRDefault="00C87F64" w:rsidP="00C87F64">
      <w:pPr>
        <w:numPr>
          <w:ilvl w:val="0"/>
          <w:numId w:val="2"/>
        </w:numPr>
        <w:spacing w:after="120" w:line="240" w:lineRule="auto"/>
        <w:ind w:left="340" w:hanging="261"/>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Assure staff that they will not be victimised for raising a legitimate concern through the steps set out in the policy, even if they turn out to be mistaken (though vexatious or malicious concerns may be considered a disciplinary issue)</w:t>
      </w:r>
    </w:p>
    <w:p w14:paraId="65435944"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This policy does not form part of any employee’s contract of employment and may be amended at any time. The policy applies to all employees or other workers who provide services to the trust in any capacity, including self-employed consultants or contractors who provide services on a personal basis and agency workers.</w:t>
      </w:r>
    </w:p>
    <w:p w14:paraId="5109F23E" w14:textId="77777777" w:rsidR="00C87F64" w:rsidRDefault="00C87F64" w:rsidP="00C87F64">
      <w:pPr>
        <w:spacing w:before="120" w:after="120" w:line="240" w:lineRule="auto"/>
        <w:outlineLvl w:val="0"/>
        <w:rPr>
          <w:rFonts w:ascii="Arial" w:eastAsia="Arial" w:hAnsi="Arial" w:cs="Arial"/>
          <w:b/>
          <w:color w:val="FF1F64"/>
          <w:kern w:val="0"/>
          <w:sz w:val="28"/>
          <w:szCs w:val="28"/>
          <w14:ligatures w14:val="none"/>
        </w:rPr>
      </w:pPr>
      <w:bookmarkStart w:id="1" w:name="_Toc5708305"/>
      <w:bookmarkStart w:id="2" w:name="_Toc157062991"/>
    </w:p>
    <w:p w14:paraId="63C476EB" w14:textId="46C6BB3D"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r w:rsidRPr="00C87F64">
        <w:rPr>
          <w:rFonts w:ascii="Arial" w:eastAsia="Arial" w:hAnsi="Arial" w:cs="Arial"/>
          <w:b/>
          <w:color w:val="FF1F64"/>
          <w:kern w:val="0"/>
          <w:sz w:val="28"/>
          <w:szCs w:val="28"/>
          <w14:ligatures w14:val="none"/>
        </w:rPr>
        <w:t>2. Legislation</w:t>
      </w:r>
      <w:bookmarkEnd w:id="1"/>
      <w:bookmarkEnd w:id="2"/>
    </w:p>
    <w:p w14:paraId="0B133DE7" w14:textId="5B7A09E3" w:rsidR="00C87F64" w:rsidRPr="00C87F64" w:rsidRDefault="00C87F64" w:rsidP="00C87F64">
      <w:pPr>
        <w:spacing w:after="120" w:line="240" w:lineRule="auto"/>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 xml:space="preserve">This policy has been written in line with the </w:t>
      </w:r>
      <w:hyperlink r:id="rId10" w:history="1">
        <w:r w:rsidRPr="00C87F64">
          <w:rPr>
            <w:rFonts w:ascii="Arial" w:eastAsia="Arial" w:hAnsi="Arial" w:cs="Arial"/>
            <w:color w:val="0072CC"/>
            <w:kern w:val="0"/>
            <w:sz w:val="20"/>
            <w:szCs w:val="20"/>
            <w:u w:val="single" w:color="0072CC"/>
            <w14:ligatures w14:val="none"/>
          </w:rPr>
          <w:t xml:space="preserve">government guidance on </w:t>
        </w:r>
        <w:proofErr w:type="gramStart"/>
        <w:r w:rsidRPr="00C87F64">
          <w:rPr>
            <w:rFonts w:ascii="Arial" w:eastAsia="Arial" w:hAnsi="Arial" w:cs="Arial"/>
            <w:color w:val="0072CC"/>
            <w:kern w:val="0"/>
            <w:sz w:val="20"/>
            <w:szCs w:val="20"/>
            <w:u w:val="single" w:color="0072CC"/>
            <w14:ligatures w14:val="none"/>
          </w:rPr>
          <w:t>whistle-blowing</w:t>
        </w:r>
        <w:proofErr w:type="gramEnd"/>
      </w:hyperlink>
      <w:r w:rsidRPr="00C87F64">
        <w:rPr>
          <w:rFonts w:ascii="Arial" w:eastAsia="Arial" w:hAnsi="Arial" w:cs="Arial"/>
          <w:kern w:val="0"/>
          <w:sz w:val="20"/>
          <w:szCs w:val="20"/>
          <w14:ligatures w14:val="none"/>
        </w:rPr>
        <w:t xml:space="preserve">. We also </w:t>
      </w:r>
      <w:proofErr w:type="gramStart"/>
      <w:r w:rsidRPr="00C87F64">
        <w:rPr>
          <w:rFonts w:ascii="Arial" w:eastAsia="Arial" w:hAnsi="Arial" w:cs="Arial"/>
          <w:kern w:val="0"/>
          <w:sz w:val="20"/>
          <w:szCs w:val="20"/>
          <w14:ligatures w14:val="none"/>
        </w:rPr>
        <w:t>take into account</w:t>
      </w:r>
      <w:proofErr w:type="gramEnd"/>
      <w:r w:rsidRPr="00C87F64">
        <w:rPr>
          <w:rFonts w:ascii="Arial" w:eastAsia="Arial" w:hAnsi="Arial" w:cs="Arial"/>
          <w:kern w:val="0"/>
          <w:sz w:val="20"/>
          <w:szCs w:val="20"/>
          <w14:ligatures w14:val="none"/>
        </w:rPr>
        <w:t xml:space="preserve"> the </w:t>
      </w:r>
      <w:hyperlink r:id="rId11" w:history="1">
        <w:r w:rsidRPr="00C87F64">
          <w:rPr>
            <w:rFonts w:ascii="Arial" w:eastAsia="Arial" w:hAnsi="Arial" w:cs="Arial"/>
            <w:color w:val="0072CC"/>
            <w:kern w:val="0"/>
            <w:sz w:val="20"/>
            <w:szCs w:val="20"/>
            <w:u w:val="single" w:color="0072CC"/>
            <w14:ligatures w14:val="none"/>
          </w:rPr>
          <w:t>Public Interest Disclosure Act 1998</w:t>
        </w:r>
      </w:hyperlink>
      <w:r w:rsidRPr="00C87F64">
        <w:rPr>
          <w:rFonts w:ascii="Arial" w:eastAsia="Arial" w:hAnsi="Arial" w:cs="Arial"/>
          <w:kern w:val="0"/>
          <w:sz w:val="20"/>
          <w:szCs w:val="20"/>
          <w14:ligatures w14:val="none"/>
        </w:rPr>
        <w:t>.</w:t>
      </w:r>
    </w:p>
    <w:p w14:paraId="13733BB8" w14:textId="77777777" w:rsidR="00C87F64" w:rsidRDefault="00C87F64" w:rsidP="00C87F64">
      <w:pPr>
        <w:spacing w:before="120" w:after="120" w:line="240" w:lineRule="auto"/>
        <w:outlineLvl w:val="0"/>
        <w:rPr>
          <w:rFonts w:ascii="Arial" w:eastAsia="MS Mincho" w:hAnsi="Arial" w:cs="Times New Roman"/>
          <w:kern w:val="0"/>
          <w:sz w:val="20"/>
          <w:shd w:val="clear" w:color="auto" w:fill="FFFFFF"/>
          <w14:ligatures w14:val="none"/>
        </w:rPr>
      </w:pPr>
      <w:bookmarkStart w:id="3" w:name="_Toc5708306"/>
      <w:bookmarkStart w:id="4" w:name="_Toc157062992"/>
    </w:p>
    <w:p w14:paraId="68FDCE4C" w14:textId="1526FAE1"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r w:rsidRPr="00C87F64">
        <w:rPr>
          <w:rFonts w:ascii="Arial" w:eastAsia="Arial" w:hAnsi="Arial" w:cs="Arial"/>
          <w:b/>
          <w:color w:val="FF1F64"/>
          <w:kern w:val="0"/>
          <w:sz w:val="28"/>
          <w:szCs w:val="28"/>
          <w14:ligatures w14:val="none"/>
        </w:rPr>
        <w:t xml:space="preserve">3. Definition of </w:t>
      </w:r>
      <w:proofErr w:type="gramStart"/>
      <w:r w:rsidRPr="00C87F64">
        <w:rPr>
          <w:rFonts w:ascii="Arial" w:eastAsia="Arial" w:hAnsi="Arial" w:cs="Arial"/>
          <w:b/>
          <w:color w:val="FF1F64"/>
          <w:kern w:val="0"/>
          <w:sz w:val="28"/>
          <w:szCs w:val="28"/>
          <w14:ligatures w14:val="none"/>
        </w:rPr>
        <w:t>whistle-blowing</w:t>
      </w:r>
      <w:bookmarkEnd w:id="3"/>
      <w:bookmarkEnd w:id="4"/>
      <w:proofErr w:type="gramEnd"/>
    </w:p>
    <w:p w14:paraId="6BE023EE" w14:textId="77777777" w:rsidR="00C87F64" w:rsidRPr="00C87F64" w:rsidRDefault="00C87F64" w:rsidP="00C87F64">
      <w:pPr>
        <w:spacing w:after="120" w:line="240" w:lineRule="auto"/>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 xml:space="preserve">Whistle-blowing covers concerns made that report wrongdoing that is “in the public interest”. Examples of </w:t>
      </w:r>
      <w:proofErr w:type="gramStart"/>
      <w:r w:rsidRPr="00C87F64">
        <w:rPr>
          <w:rFonts w:ascii="Arial" w:eastAsia="Arial" w:hAnsi="Arial" w:cs="Arial"/>
          <w:kern w:val="0"/>
          <w:sz w:val="20"/>
          <w:szCs w:val="20"/>
          <w14:ligatures w14:val="none"/>
        </w:rPr>
        <w:t>whistle-blowing</w:t>
      </w:r>
      <w:proofErr w:type="gramEnd"/>
      <w:r w:rsidRPr="00C87F64">
        <w:rPr>
          <w:rFonts w:ascii="Arial" w:eastAsia="Arial" w:hAnsi="Arial" w:cs="Arial"/>
          <w:kern w:val="0"/>
          <w:sz w:val="20"/>
          <w:szCs w:val="20"/>
          <w14:ligatures w14:val="none"/>
        </w:rPr>
        <w:t xml:space="preserve"> include (but are not limited to):</w:t>
      </w:r>
    </w:p>
    <w:p w14:paraId="10CF5800"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Criminal offences, such as fraud or corruption</w:t>
      </w:r>
    </w:p>
    <w:p w14:paraId="7D6FB942"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Pupils’ or staff health and safety being put in danger</w:t>
      </w:r>
    </w:p>
    <w:p w14:paraId="42232132"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Failure to comply with a legal obligation or statutory requirement</w:t>
      </w:r>
    </w:p>
    <w:p w14:paraId="58BD5DB2"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Breaches of financial management procedures</w:t>
      </w:r>
    </w:p>
    <w:p w14:paraId="73C04A08"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Attempts to cover up the above, or any other wrongdoing in the public interest</w:t>
      </w:r>
    </w:p>
    <w:p w14:paraId="32E502FA"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Damage to the environment</w:t>
      </w:r>
    </w:p>
    <w:p w14:paraId="16B00438"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A whistle-blower is a person who raises a genuine concern relating to the above.</w:t>
      </w:r>
    </w:p>
    <w:p w14:paraId="799E922F"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 xml:space="preserve">Not all concerns about the trust, or individual schools in the trust, count as </w:t>
      </w:r>
      <w:proofErr w:type="gramStart"/>
      <w:r w:rsidRPr="00C87F64">
        <w:rPr>
          <w:rFonts w:ascii="Arial" w:eastAsia="MS Mincho" w:hAnsi="Arial" w:cs="Times New Roman"/>
          <w:kern w:val="0"/>
          <w:sz w:val="20"/>
          <w14:ligatures w14:val="none"/>
        </w:rPr>
        <w:t>whistle-blowing</w:t>
      </w:r>
      <w:proofErr w:type="gramEnd"/>
      <w:r w:rsidRPr="00C87F64">
        <w:rPr>
          <w:rFonts w:ascii="Arial" w:eastAsia="MS Mincho" w:hAnsi="Arial" w:cs="Times New Roman"/>
          <w:kern w:val="0"/>
          <w:sz w:val="20"/>
          <w14:ligatures w14:val="none"/>
        </w:rPr>
        <w:t xml:space="preserve">. For example, personal staff grievances such as bullying or harassment do not usually count as </w:t>
      </w:r>
      <w:proofErr w:type="gramStart"/>
      <w:r w:rsidRPr="00C87F64">
        <w:rPr>
          <w:rFonts w:ascii="Arial" w:eastAsia="MS Mincho" w:hAnsi="Arial" w:cs="Times New Roman"/>
          <w:kern w:val="0"/>
          <w:sz w:val="20"/>
          <w14:ligatures w14:val="none"/>
        </w:rPr>
        <w:t>whistle-blowing</w:t>
      </w:r>
      <w:proofErr w:type="gramEnd"/>
      <w:r w:rsidRPr="00C87F64">
        <w:rPr>
          <w:rFonts w:ascii="Arial" w:eastAsia="MS Mincho" w:hAnsi="Arial" w:cs="Times New Roman"/>
          <w:kern w:val="0"/>
          <w:sz w:val="20"/>
          <w14:ligatures w14:val="none"/>
        </w:rPr>
        <w:t xml:space="preserve">. If something affects a staff member as an individual, or relates to an individual employment contract, this is likely a grievance. </w:t>
      </w:r>
    </w:p>
    <w:p w14:paraId="535B1DF8"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 xml:space="preserve">When staff have a </w:t>
      </w:r>
      <w:proofErr w:type="gramStart"/>
      <w:r w:rsidRPr="00C87F64">
        <w:rPr>
          <w:rFonts w:ascii="Arial" w:eastAsia="MS Mincho" w:hAnsi="Arial" w:cs="Times New Roman"/>
          <w:kern w:val="0"/>
          <w:sz w:val="20"/>
          <w14:ligatures w14:val="none"/>
        </w:rPr>
        <w:t>concern</w:t>
      </w:r>
      <w:proofErr w:type="gramEnd"/>
      <w:r w:rsidRPr="00C87F64">
        <w:rPr>
          <w:rFonts w:ascii="Arial" w:eastAsia="MS Mincho" w:hAnsi="Arial" w:cs="Times New Roman"/>
          <w:kern w:val="0"/>
          <w:sz w:val="20"/>
          <w14:ligatures w14:val="none"/>
        </w:rPr>
        <w:t xml:space="preserve"> they should consider whether it would be better to follow our staff grievance or complaints procedures. </w:t>
      </w:r>
    </w:p>
    <w:p w14:paraId="69998789" w14:textId="77777777" w:rsidR="00C87F64" w:rsidRPr="00C87F64"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Protect (formerly Public Concern at Work) has:</w:t>
      </w:r>
    </w:p>
    <w:p w14:paraId="41F187CF"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hyperlink r:id="rId12" w:history="1">
        <w:r w:rsidRPr="00C87F64">
          <w:rPr>
            <w:rFonts w:ascii="Arial" w:eastAsia="Arial" w:hAnsi="Arial" w:cs="Arial"/>
            <w:color w:val="0072CC"/>
            <w:kern w:val="0"/>
            <w:sz w:val="20"/>
            <w:szCs w:val="20"/>
            <w:u w:val="single"/>
            <w14:ligatures w14:val="none"/>
          </w:rPr>
          <w:t>Further guidance</w:t>
        </w:r>
      </w:hyperlink>
      <w:r w:rsidRPr="00C87F64">
        <w:rPr>
          <w:rFonts w:ascii="Arial" w:eastAsia="MS Mincho" w:hAnsi="Arial" w:cs="Arial"/>
          <w:kern w:val="0"/>
          <w:sz w:val="20"/>
          <w:szCs w:val="20"/>
          <w14:ligatures w14:val="none"/>
        </w:rPr>
        <w:t xml:space="preserve"> on the difference between a whistle-blowing concern and a grievance that staff may find useful if unsure</w:t>
      </w:r>
    </w:p>
    <w:p w14:paraId="69F3DF65" w14:textId="77777777" w:rsidR="00C87F64" w:rsidRPr="00223C8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 xml:space="preserve">A free and confidential </w:t>
      </w:r>
      <w:hyperlink r:id="rId13" w:history="1">
        <w:r w:rsidRPr="00C87F64">
          <w:rPr>
            <w:rFonts w:ascii="Arial" w:eastAsia="MS Mincho" w:hAnsi="Arial" w:cs="Arial"/>
            <w:color w:val="0072CC"/>
            <w:kern w:val="0"/>
            <w:sz w:val="20"/>
            <w:szCs w:val="20"/>
            <w:u w:val="single" w:color="0072CC"/>
            <w14:ligatures w14:val="none"/>
          </w:rPr>
          <w:t>advice line</w:t>
        </w:r>
      </w:hyperlink>
    </w:p>
    <w:p w14:paraId="0D894066" w14:textId="77777777" w:rsidR="00223C84" w:rsidRDefault="00223C84" w:rsidP="00223C84">
      <w:pPr>
        <w:spacing w:after="120" w:line="240" w:lineRule="auto"/>
        <w:rPr>
          <w:rFonts w:ascii="Arial" w:eastAsia="MS Mincho" w:hAnsi="Arial" w:cs="Arial"/>
          <w:kern w:val="0"/>
          <w:sz w:val="20"/>
          <w:szCs w:val="20"/>
          <w14:ligatures w14:val="none"/>
        </w:rPr>
      </w:pPr>
    </w:p>
    <w:p w14:paraId="53B67C8C" w14:textId="77777777" w:rsidR="00223C84" w:rsidRDefault="00223C84" w:rsidP="00223C84">
      <w:pPr>
        <w:spacing w:after="120" w:line="240" w:lineRule="auto"/>
        <w:rPr>
          <w:rFonts w:ascii="Arial" w:eastAsia="MS Mincho" w:hAnsi="Arial" w:cs="Arial"/>
          <w:kern w:val="0"/>
          <w:sz w:val="20"/>
          <w:szCs w:val="20"/>
          <w14:ligatures w14:val="none"/>
        </w:rPr>
      </w:pPr>
    </w:p>
    <w:p w14:paraId="77119A81" w14:textId="77777777" w:rsidR="00223C84" w:rsidRPr="00C87F64" w:rsidRDefault="00223C84" w:rsidP="00223C84">
      <w:pPr>
        <w:spacing w:after="120" w:line="240" w:lineRule="auto"/>
        <w:rPr>
          <w:rFonts w:ascii="Arial" w:eastAsia="MS Mincho" w:hAnsi="Arial" w:cs="Arial"/>
          <w:kern w:val="0"/>
          <w:sz w:val="20"/>
          <w:szCs w:val="20"/>
          <w14:ligatures w14:val="none"/>
        </w:rPr>
      </w:pPr>
    </w:p>
    <w:p w14:paraId="4BCE25AB" w14:textId="77777777"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bookmarkStart w:id="5" w:name="_Toc531168964"/>
      <w:bookmarkStart w:id="6" w:name="_Toc5708307"/>
      <w:bookmarkStart w:id="7" w:name="_Toc157062993"/>
      <w:r w:rsidRPr="00C87F64">
        <w:rPr>
          <w:rFonts w:ascii="Arial" w:eastAsia="Arial" w:hAnsi="Arial" w:cs="Arial"/>
          <w:b/>
          <w:color w:val="FF1F64"/>
          <w:kern w:val="0"/>
          <w:sz w:val="28"/>
          <w:szCs w:val="28"/>
          <w14:ligatures w14:val="none"/>
        </w:rPr>
        <w:t xml:space="preserve">4. </w:t>
      </w:r>
      <w:bookmarkEnd w:id="5"/>
      <w:r w:rsidRPr="00C87F64">
        <w:rPr>
          <w:rFonts w:ascii="Arial" w:eastAsia="Arial" w:hAnsi="Arial" w:cs="Arial"/>
          <w:b/>
          <w:color w:val="FF1F64"/>
          <w:kern w:val="0"/>
          <w:sz w:val="28"/>
          <w:szCs w:val="28"/>
          <w14:ligatures w14:val="none"/>
        </w:rPr>
        <w:t>Procedure for staff to raise a whistle-blowing concern</w:t>
      </w:r>
      <w:bookmarkEnd w:id="6"/>
      <w:bookmarkEnd w:id="7"/>
    </w:p>
    <w:p w14:paraId="4CA8F077" w14:textId="77777777" w:rsidR="00C87F64" w:rsidRPr="00C87F64" w:rsidRDefault="00C87F64" w:rsidP="00C87F64">
      <w:pPr>
        <w:spacing w:before="240" w:after="120" w:line="240" w:lineRule="auto"/>
        <w:rPr>
          <w:rFonts w:ascii="Arial" w:eastAsia="MS Mincho" w:hAnsi="Arial" w:cs="Times New Roman"/>
          <w:b/>
          <w:color w:val="12263F"/>
          <w:kern w:val="0"/>
          <w14:ligatures w14:val="none"/>
        </w:rPr>
      </w:pPr>
      <w:r w:rsidRPr="00C87F64">
        <w:rPr>
          <w:rFonts w:ascii="Arial" w:eastAsia="MS Mincho" w:hAnsi="Arial" w:cs="Times New Roman"/>
          <w:b/>
          <w:color w:val="12263F"/>
          <w:kern w:val="0"/>
          <w14:ligatures w14:val="none"/>
        </w:rPr>
        <w:t>4.1 When to raise a concern</w:t>
      </w:r>
    </w:p>
    <w:p w14:paraId="081DDB8E" w14:textId="76590355"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 xml:space="preserve">Staff should consider the examples in section 3 when deciding whether their concern is of a whistle-blowing nature. Consider whether the incident(s) was illegal, breached statutory procedures, put people in danger or was an attempt to cover any such activity up. </w:t>
      </w:r>
    </w:p>
    <w:p w14:paraId="7C7C78C0" w14:textId="77777777" w:rsidR="00C87F64" w:rsidRPr="00C87F64" w:rsidRDefault="00C87F64" w:rsidP="00C87F64">
      <w:pPr>
        <w:spacing w:before="240" w:after="120" w:line="240" w:lineRule="auto"/>
        <w:rPr>
          <w:rFonts w:ascii="Arial" w:eastAsia="MS Mincho" w:hAnsi="Arial" w:cs="Times New Roman"/>
          <w:b/>
          <w:color w:val="12263F"/>
          <w:kern w:val="0"/>
          <w14:ligatures w14:val="none"/>
        </w:rPr>
      </w:pPr>
      <w:r w:rsidRPr="00C87F64">
        <w:rPr>
          <w:rFonts w:ascii="Arial" w:eastAsia="MS Mincho" w:hAnsi="Arial" w:cs="Times New Roman"/>
          <w:b/>
          <w:color w:val="12263F"/>
          <w:kern w:val="0"/>
          <w14:ligatures w14:val="none"/>
        </w:rPr>
        <w:t>4.2 Who to report to</w:t>
      </w:r>
    </w:p>
    <w:p w14:paraId="13322373" w14:textId="2BFA16B9" w:rsidR="005B3BF0"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School-based staff should report their concern to the</w:t>
      </w:r>
      <w:r>
        <w:rPr>
          <w:rFonts w:ascii="Arial" w:eastAsia="Arial" w:hAnsi="Arial" w:cs="Arial"/>
          <w:kern w:val="0"/>
          <w:sz w:val="20"/>
          <w:szCs w:val="20"/>
          <w14:ligatures w14:val="none"/>
        </w:rPr>
        <w:t xml:space="preserve"> Headteacher</w:t>
      </w:r>
      <w:r w:rsidRPr="00C87F64">
        <w:rPr>
          <w:rFonts w:ascii="Arial" w:eastAsia="Arial" w:hAnsi="Arial" w:cs="Arial"/>
          <w:kern w:val="0"/>
          <w:sz w:val="20"/>
          <w:szCs w:val="20"/>
          <w14:ligatures w14:val="none"/>
        </w:rPr>
        <w:t>. If the concern is about the</w:t>
      </w:r>
      <w:r>
        <w:rPr>
          <w:rFonts w:ascii="Arial" w:eastAsia="Arial" w:hAnsi="Arial" w:cs="Arial"/>
          <w:kern w:val="0"/>
          <w:sz w:val="20"/>
          <w:szCs w:val="20"/>
          <w14:ligatures w14:val="none"/>
        </w:rPr>
        <w:t xml:space="preserve"> Headteacher,</w:t>
      </w:r>
      <w:r w:rsidRPr="00C87F64">
        <w:rPr>
          <w:rFonts w:ascii="Arial" w:eastAsia="Arial" w:hAnsi="Arial" w:cs="Arial"/>
          <w:kern w:val="0"/>
          <w:sz w:val="20"/>
          <w:szCs w:val="20"/>
          <w14:ligatures w14:val="none"/>
        </w:rPr>
        <w:t xml:space="preserve"> or it is believed they may be involved in the wrongdoing in some way, the staff member should report their concern to</w:t>
      </w:r>
      <w:r w:rsidR="005B3BF0">
        <w:rPr>
          <w:rFonts w:ascii="Arial" w:eastAsia="Arial" w:hAnsi="Arial" w:cs="Arial"/>
          <w:kern w:val="0"/>
          <w:sz w:val="20"/>
          <w:szCs w:val="20"/>
          <w14:ligatures w14:val="none"/>
        </w:rPr>
        <w:t xml:space="preserve"> the</w:t>
      </w:r>
      <w:r w:rsidR="00602EA9">
        <w:rPr>
          <w:rFonts w:ascii="Arial" w:eastAsia="Arial" w:hAnsi="Arial" w:cs="Arial"/>
          <w:kern w:val="0"/>
          <w:sz w:val="20"/>
          <w:szCs w:val="20"/>
          <w14:ligatures w14:val="none"/>
        </w:rPr>
        <w:t xml:space="preserve"> Chair of Governors</w:t>
      </w:r>
      <w:r w:rsidR="005B3BF0">
        <w:rPr>
          <w:rFonts w:ascii="Arial" w:eastAsia="Arial" w:hAnsi="Arial" w:cs="Arial"/>
          <w:kern w:val="0"/>
          <w:sz w:val="20"/>
          <w:szCs w:val="20"/>
          <w14:ligatures w14:val="none"/>
        </w:rPr>
        <w:t>. You may also report through your Trade Union.</w:t>
      </w:r>
    </w:p>
    <w:p w14:paraId="7E023FE5" w14:textId="77777777" w:rsidR="005B3BF0" w:rsidRDefault="005B3BF0" w:rsidP="00C87F64">
      <w:pPr>
        <w:spacing w:after="120" w:line="240" w:lineRule="auto"/>
        <w:rPr>
          <w:rFonts w:ascii="Arial" w:eastAsia="Arial" w:hAnsi="Arial" w:cs="Arial"/>
          <w:kern w:val="0"/>
          <w:sz w:val="20"/>
          <w:szCs w:val="20"/>
          <w14:ligatures w14:val="none"/>
        </w:rPr>
      </w:pPr>
    </w:p>
    <w:p w14:paraId="1CACAED4" w14:textId="2B6D70EA" w:rsidR="005B3BF0" w:rsidRDefault="005B3BF0" w:rsidP="00C87F64">
      <w:pPr>
        <w:spacing w:after="120" w:line="240" w:lineRule="auto"/>
        <w:rPr>
          <w:rFonts w:ascii="Arial" w:eastAsia="Arial" w:hAnsi="Arial" w:cs="Arial"/>
          <w:kern w:val="0"/>
          <w:sz w:val="20"/>
          <w:szCs w:val="20"/>
          <w14:ligatures w14:val="none"/>
        </w:rPr>
      </w:pPr>
      <w:r>
        <w:rPr>
          <w:rFonts w:ascii="Arial" w:eastAsia="Arial" w:hAnsi="Arial" w:cs="Arial"/>
          <w:kern w:val="0"/>
          <w:sz w:val="20"/>
          <w:szCs w:val="20"/>
          <w14:ligatures w14:val="none"/>
        </w:rPr>
        <w:t xml:space="preserve">If you do not feel able to contact any of these </w:t>
      </w:r>
      <w:proofErr w:type="gramStart"/>
      <w:r>
        <w:rPr>
          <w:rFonts w:ascii="Arial" w:eastAsia="Arial" w:hAnsi="Arial" w:cs="Arial"/>
          <w:kern w:val="0"/>
          <w:sz w:val="20"/>
          <w:szCs w:val="20"/>
          <w14:ligatures w14:val="none"/>
        </w:rPr>
        <w:t>people</w:t>
      </w:r>
      <w:proofErr w:type="gramEnd"/>
      <w:r>
        <w:rPr>
          <w:rFonts w:ascii="Arial" w:eastAsia="Arial" w:hAnsi="Arial" w:cs="Arial"/>
          <w:kern w:val="0"/>
          <w:sz w:val="20"/>
          <w:szCs w:val="20"/>
          <w14:ligatures w14:val="none"/>
        </w:rPr>
        <w:t xml:space="preserve"> then you must report to the Chair of</w:t>
      </w:r>
      <w:r w:rsidR="00602EA9">
        <w:rPr>
          <w:rFonts w:ascii="Arial" w:eastAsia="Arial" w:hAnsi="Arial" w:cs="Arial"/>
          <w:kern w:val="0"/>
          <w:sz w:val="20"/>
          <w:szCs w:val="20"/>
          <w14:ligatures w14:val="none"/>
        </w:rPr>
        <w:t xml:space="preserve"> </w:t>
      </w:r>
      <w:proofErr w:type="gramStart"/>
      <w:r w:rsidR="00602EA9">
        <w:rPr>
          <w:rFonts w:ascii="Arial" w:eastAsia="Arial" w:hAnsi="Arial" w:cs="Arial"/>
          <w:kern w:val="0"/>
          <w:sz w:val="20"/>
          <w:szCs w:val="20"/>
          <w14:ligatures w14:val="none"/>
        </w:rPr>
        <w:t>Board</w:t>
      </w:r>
      <w:r>
        <w:rPr>
          <w:rFonts w:ascii="Arial" w:eastAsia="Arial" w:hAnsi="Arial" w:cs="Arial"/>
          <w:kern w:val="0"/>
          <w:sz w:val="20"/>
          <w:szCs w:val="20"/>
          <w14:ligatures w14:val="none"/>
        </w:rPr>
        <w:t xml:space="preserve"> .</w:t>
      </w:r>
      <w:proofErr w:type="gramEnd"/>
    </w:p>
    <w:p w14:paraId="61CD753F" w14:textId="77777777" w:rsidR="005B3BF0" w:rsidRDefault="005B3BF0" w:rsidP="005B3BF0">
      <w:pPr>
        <w:spacing w:after="120" w:line="240" w:lineRule="auto"/>
        <w:rPr>
          <w:rFonts w:ascii="Arial" w:eastAsia="Arial" w:hAnsi="Arial" w:cs="Arial"/>
          <w:kern w:val="0"/>
          <w:sz w:val="20"/>
          <w:szCs w:val="20"/>
          <w14:ligatures w14:val="none"/>
        </w:rPr>
      </w:pPr>
    </w:p>
    <w:p w14:paraId="1AB1896A" w14:textId="484CCC1F" w:rsidR="00C87F64" w:rsidRPr="00C87F64" w:rsidRDefault="00C87F64" w:rsidP="00892531">
      <w:pPr>
        <w:spacing w:after="120" w:line="240" w:lineRule="auto"/>
        <w:rPr>
          <w:rFonts w:ascii="Arial" w:eastAsia="Arial" w:hAnsi="Arial" w:cs="Arial"/>
          <w:kern w:val="0"/>
          <w:sz w:val="20"/>
          <w:szCs w:val="20"/>
          <w14:ligatures w14:val="none"/>
        </w:rPr>
      </w:pPr>
      <w:r w:rsidRPr="00C87F64">
        <w:rPr>
          <w:rFonts w:ascii="Arial" w:eastAsia="MS Mincho" w:hAnsi="Arial" w:cs="Times New Roman"/>
          <w:b/>
          <w:color w:val="12263F"/>
          <w:kern w:val="0"/>
          <w14:ligatures w14:val="none"/>
        </w:rPr>
        <w:t>4.3 How to raise the concern</w:t>
      </w:r>
    </w:p>
    <w:p w14:paraId="27F176A2" w14:textId="77777777" w:rsid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 xml:space="preserve">Concerns should be made in writing wherever possible. They should include names of those committing wrongdoing, dates, places and as much evidence and context as possible. Staff raising a concern should also include details of any personal interest in the matter. </w:t>
      </w:r>
    </w:p>
    <w:p w14:paraId="29233FA1" w14:textId="77777777" w:rsidR="00892531" w:rsidRPr="00C87F64" w:rsidRDefault="00892531" w:rsidP="00C87F64">
      <w:pPr>
        <w:spacing w:after="120" w:line="240" w:lineRule="auto"/>
        <w:rPr>
          <w:rFonts w:ascii="Arial" w:eastAsia="MS Mincho" w:hAnsi="Arial" w:cs="Times New Roman"/>
          <w:kern w:val="0"/>
          <w:sz w:val="20"/>
          <w14:ligatures w14:val="none"/>
        </w:rPr>
      </w:pPr>
    </w:p>
    <w:p w14:paraId="7560F77F" w14:textId="76DBE032"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bookmarkStart w:id="8" w:name="_Toc5708308"/>
      <w:bookmarkStart w:id="9" w:name="_Toc157062994"/>
      <w:r w:rsidRPr="00C87F64">
        <w:rPr>
          <w:rFonts w:ascii="Arial" w:eastAsia="Arial" w:hAnsi="Arial" w:cs="Arial"/>
          <w:b/>
          <w:color w:val="FF1F64"/>
          <w:kern w:val="0"/>
          <w:sz w:val="28"/>
          <w:szCs w:val="28"/>
          <w14:ligatures w14:val="none"/>
        </w:rPr>
        <w:t xml:space="preserve">5. </w:t>
      </w:r>
      <w:r w:rsidR="00602EA9">
        <w:rPr>
          <w:rFonts w:ascii="Arial" w:eastAsia="Arial" w:hAnsi="Arial" w:cs="Arial"/>
          <w:b/>
          <w:color w:val="FF1F64"/>
          <w:kern w:val="0"/>
          <w:sz w:val="28"/>
          <w:szCs w:val="28"/>
          <w14:ligatures w14:val="none"/>
        </w:rPr>
        <w:t>P</w:t>
      </w:r>
      <w:r w:rsidRPr="00C87F64">
        <w:rPr>
          <w:rFonts w:ascii="Arial" w:eastAsia="Arial" w:hAnsi="Arial" w:cs="Arial"/>
          <w:b/>
          <w:color w:val="FF1F64"/>
          <w:kern w:val="0"/>
          <w:sz w:val="28"/>
          <w:szCs w:val="28"/>
          <w14:ligatures w14:val="none"/>
        </w:rPr>
        <w:t>rocedure for responding to a whistle-blowing concern</w:t>
      </w:r>
      <w:bookmarkEnd w:id="8"/>
      <w:bookmarkEnd w:id="9"/>
    </w:p>
    <w:p w14:paraId="63572955" w14:textId="77777777" w:rsidR="00C87F64" w:rsidRPr="00C87F64" w:rsidRDefault="00C87F64" w:rsidP="00C87F64">
      <w:pPr>
        <w:spacing w:before="240" w:after="120" w:line="240" w:lineRule="auto"/>
        <w:rPr>
          <w:rFonts w:ascii="Arial" w:eastAsia="MS Mincho" w:hAnsi="Arial" w:cs="Times New Roman"/>
          <w:b/>
          <w:color w:val="12263F"/>
          <w:kern w:val="0"/>
          <w14:ligatures w14:val="none"/>
        </w:rPr>
      </w:pPr>
      <w:r w:rsidRPr="00C87F64">
        <w:rPr>
          <w:rFonts w:ascii="Arial" w:eastAsia="MS Mincho" w:hAnsi="Arial" w:cs="Times New Roman"/>
          <w:b/>
          <w:color w:val="12263F"/>
          <w:kern w:val="0"/>
          <w14:ligatures w14:val="none"/>
        </w:rPr>
        <w:t>5.1 Investigating the concern</w:t>
      </w:r>
    </w:p>
    <w:p w14:paraId="21D98490" w14:textId="564F2743" w:rsidR="00C87F64" w:rsidRPr="00C87F64" w:rsidRDefault="00C87F64" w:rsidP="00C87F64">
      <w:pPr>
        <w:spacing w:after="120" w:line="240" w:lineRule="auto"/>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When a concern is received by the</w:t>
      </w:r>
      <w:r w:rsidR="00941528">
        <w:rPr>
          <w:rFonts w:ascii="Arial" w:eastAsia="Arial" w:hAnsi="Arial" w:cs="Arial"/>
          <w:kern w:val="0"/>
          <w:sz w:val="20"/>
          <w:szCs w:val="20"/>
          <w14:ligatures w14:val="none"/>
        </w:rPr>
        <w:t xml:space="preserve"> Headteacher/</w:t>
      </w:r>
      <w:r w:rsidR="00602EA9">
        <w:rPr>
          <w:rFonts w:ascii="Arial" w:eastAsia="Arial" w:hAnsi="Arial" w:cs="Arial"/>
          <w:kern w:val="0"/>
          <w:sz w:val="20"/>
          <w:szCs w:val="20"/>
          <w14:ligatures w14:val="none"/>
        </w:rPr>
        <w:t>Chair of Governors</w:t>
      </w:r>
      <w:r w:rsidR="00941528">
        <w:rPr>
          <w:rFonts w:ascii="Arial" w:eastAsia="Arial" w:hAnsi="Arial" w:cs="Arial"/>
          <w:kern w:val="0"/>
          <w:sz w:val="20"/>
          <w:szCs w:val="20"/>
          <w14:ligatures w14:val="none"/>
        </w:rPr>
        <w:t>/</w:t>
      </w:r>
      <w:r w:rsidR="00602EA9">
        <w:rPr>
          <w:rFonts w:ascii="Arial" w:eastAsia="Arial" w:hAnsi="Arial" w:cs="Arial"/>
          <w:kern w:val="0"/>
          <w:sz w:val="20"/>
          <w:szCs w:val="20"/>
          <w14:ligatures w14:val="none"/>
        </w:rPr>
        <w:t>Board member</w:t>
      </w:r>
      <w:r w:rsidRPr="00C87F64">
        <w:rPr>
          <w:rFonts w:ascii="Arial" w:eastAsia="Arial" w:hAnsi="Arial" w:cs="Arial"/>
          <w:kern w:val="0"/>
          <w:sz w:val="20"/>
          <w:szCs w:val="20"/>
          <w14:ligatures w14:val="none"/>
        </w:rPr>
        <w:t>– referred to from here as the ‘recipient’ – they will:</w:t>
      </w:r>
    </w:p>
    <w:p w14:paraId="30BF4442" w14:textId="49EB2E81"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Meet with the person raising the concern within a reasonable time. The person raising the concern may be joined by a trade union</w:t>
      </w:r>
    </w:p>
    <w:p w14:paraId="34AA5771" w14:textId="381BCCA4"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 xml:space="preserve">Get as much detail as possible about the concern at this </w:t>
      </w:r>
      <w:proofErr w:type="gramStart"/>
      <w:r w:rsidRPr="00C87F64">
        <w:rPr>
          <w:rFonts w:ascii="Arial" w:eastAsia="MS Mincho" w:hAnsi="Arial" w:cs="Arial"/>
          <w:kern w:val="0"/>
          <w:sz w:val="20"/>
          <w:szCs w:val="20"/>
          <w14:ligatures w14:val="none"/>
        </w:rPr>
        <w:t>meeting,</w:t>
      </w:r>
      <w:r w:rsidR="00941528">
        <w:rPr>
          <w:rFonts w:ascii="Arial" w:eastAsia="MS Mincho" w:hAnsi="Arial" w:cs="Arial"/>
          <w:kern w:val="0"/>
          <w:sz w:val="20"/>
          <w:szCs w:val="20"/>
          <w14:ligatures w14:val="none"/>
        </w:rPr>
        <w:t xml:space="preserve"> </w:t>
      </w:r>
      <w:r w:rsidRPr="00C87F64">
        <w:rPr>
          <w:rFonts w:ascii="Arial" w:eastAsia="MS Mincho" w:hAnsi="Arial" w:cs="Arial"/>
          <w:kern w:val="0"/>
          <w:sz w:val="20"/>
          <w:szCs w:val="20"/>
          <w14:ligatures w14:val="none"/>
        </w:rPr>
        <w:t>and</w:t>
      </w:r>
      <w:proofErr w:type="gramEnd"/>
      <w:r w:rsidRPr="00C87F64">
        <w:rPr>
          <w:rFonts w:ascii="Arial" w:eastAsia="MS Mincho" w:hAnsi="Arial" w:cs="Arial"/>
          <w:kern w:val="0"/>
          <w:sz w:val="20"/>
          <w:szCs w:val="20"/>
          <w14:ligatures w14:val="none"/>
        </w:rPr>
        <w:t xml:space="preserve"> record the information. If it becomes apparent the concern is not of a whistle-blowing nature, the recipient should handle the concern in line with the appropriate policy/procedure</w:t>
      </w:r>
    </w:p>
    <w:p w14:paraId="05E95E20"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 xml:space="preserve">Reiterate, at this meeting, that they are protected from any unfair treatment or risk of dismissal </w:t>
      </w:r>
      <w:proofErr w:type="gramStart"/>
      <w:r w:rsidRPr="00C87F64">
        <w:rPr>
          <w:rFonts w:ascii="Arial" w:eastAsia="MS Mincho" w:hAnsi="Arial" w:cs="Arial"/>
          <w:kern w:val="0"/>
          <w:sz w:val="20"/>
          <w:szCs w:val="20"/>
          <w14:ligatures w14:val="none"/>
        </w:rPr>
        <w:t>as a result of</w:t>
      </w:r>
      <w:proofErr w:type="gramEnd"/>
      <w:r w:rsidRPr="00C87F64">
        <w:rPr>
          <w:rFonts w:ascii="Arial" w:eastAsia="MS Mincho" w:hAnsi="Arial" w:cs="Arial"/>
          <w:kern w:val="0"/>
          <w:sz w:val="20"/>
          <w:szCs w:val="20"/>
          <w14:ligatures w14:val="none"/>
        </w:rPr>
        <w:t xml:space="preserve"> raising the concern. If the concern is found to be malicious or vexatious, disciplinary action may be taken (see section 6 of this policy)</w:t>
      </w:r>
    </w:p>
    <w:p w14:paraId="64CC9D75" w14:textId="77777777" w:rsidR="00C87F64" w:rsidRPr="00C87F64" w:rsidRDefault="00C87F64" w:rsidP="00C87F64">
      <w:pPr>
        <w:numPr>
          <w:ilvl w:val="0"/>
          <w:numId w:val="1"/>
        </w:numPr>
        <w:spacing w:after="120" w:line="240" w:lineRule="auto"/>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Establish whether there is sufficient cause for concern to warrant further investigation. If there is:</w:t>
      </w:r>
    </w:p>
    <w:p w14:paraId="18C17550" w14:textId="6BFA7335" w:rsidR="00C87F64" w:rsidRPr="00C87F64" w:rsidRDefault="00C87F64" w:rsidP="00C87F64">
      <w:pPr>
        <w:numPr>
          <w:ilvl w:val="1"/>
          <w:numId w:val="1"/>
        </w:numPr>
        <w:spacing w:after="120" w:line="240" w:lineRule="auto"/>
        <w:ind w:left="993"/>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The recipient should then arrange a further investigation into the matter, involving the</w:t>
      </w:r>
      <w:r w:rsidR="00941528">
        <w:rPr>
          <w:rFonts w:ascii="Arial" w:eastAsia="MS Mincho" w:hAnsi="Arial" w:cs="Arial"/>
          <w:kern w:val="0"/>
          <w:sz w:val="20"/>
          <w:szCs w:val="20"/>
          <w14:ligatures w14:val="none"/>
        </w:rPr>
        <w:t xml:space="preserve"> Chair of Governors/Chair of </w:t>
      </w:r>
      <w:r w:rsidR="00602EA9">
        <w:rPr>
          <w:rFonts w:ascii="Arial" w:eastAsia="MS Mincho" w:hAnsi="Arial" w:cs="Arial"/>
          <w:kern w:val="0"/>
          <w:sz w:val="20"/>
          <w:szCs w:val="20"/>
          <w14:ligatures w14:val="none"/>
        </w:rPr>
        <w:t>Board</w:t>
      </w:r>
      <w:r w:rsidR="00941528">
        <w:rPr>
          <w:rFonts w:ascii="Arial" w:eastAsia="MS Mincho" w:hAnsi="Arial" w:cs="Arial"/>
          <w:kern w:val="0"/>
          <w:sz w:val="20"/>
          <w:szCs w:val="20"/>
          <w14:ligatures w14:val="none"/>
        </w:rPr>
        <w:t xml:space="preserve"> </w:t>
      </w:r>
      <w:r w:rsidRPr="00C87F64">
        <w:rPr>
          <w:rFonts w:ascii="Arial" w:eastAsia="MS Mincho" w:hAnsi="Arial" w:cs="Arial"/>
          <w:kern w:val="0"/>
          <w:sz w:val="20"/>
          <w:szCs w:val="20"/>
          <w14:ligatures w14:val="none"/>
        </w:rPr>
        <w:t>if appropriate. In some cases, they may need to bring in an external, independent body to investigate. In others, they may need to report the matter to the police</w:t>
      </w:r>
    </w:p>
    <w:p w14:paraId="50BE2F71" w14:textId="77777777" w:rsidR="00C87F64" w:rsidRPr="00C87F64" w:rsidRDefault="00C87F64" w:rsidP="00C87F64">
      <w:pPr>
        <w:numPr>
          <w:ilvl w:val="1"/>
          <w:numId w:val="1"/>
        </w:numPr>
        <w:spacing w:after="120" w:line="240" w:lineRule="auto"/>
        <w:ind w:left="993"/>
        <w:rPr>
          <w:rFonts w:ascii="Arial" w:eastAsia="MS Mincho" w:hAnsi="Arial" w:cs="Arial"/>
          <w:kern w:val="0"/>
          <w:sz w:val="20"/>
          <w:szCs w:val="20"/>
          <w14:ligatures w14:val="none"/>
        </w:rPr>
      </w:pPr>
      <w:r w:rsidRPr="00C87F64">
        <w:rPr>
          <w:rFonts w:ascii="Arial" w:eastAsia="MS Mincho" w:hAnsi="Arial" w:cs="Arial"/>
          <w:kern w:val="0"/>
          <w:sz w:val="20"/>
          <w:szCs w:val="20"/>
          <w14:ligatures w14:val="none"/>
        </w:rPr>
        <w:t>The person who raised the concern should be informed of how the matter is being investigated and an estimated timeframe for when they will be informed of the next steps</w:t>
      </w:r>
    </w:p>
    <w:p w14:paraId="2B2ED06D" w14:textId="77777777" w:rsidR="00C87F64" w:rsidRPr="00C87F64" w:rsidRDefault="00C87F64" w:rsidP="00C87F64">
      <w:pPr>
        <w:spacing w:before="240" w:after="120" w:line="240" w:lineRule="auto"/>
        <w:rPr>
          <w:rFonts w:ascii="Arial" w:eastAsia="MS Mincho" w:hAnsi="Arial" w:cs="Times New Roman"/>
          <w:b/>
          <w:color w:val="12263F"/>
          <w:kern w:val="0"/>
          <w14:ligatures w14:val="none"/>
        </w:rPr>
      </w:pPr>
      <w:r w:rsidRPr="00C87F64">
        <w:rPr>
          <w:rFonts w:ascii="Arial" w:eastAsia="MS Mincho" w:hAnsi="Arial" w:cs="Times New Roman"/>
          <w:b/>
          <w:color w:val="12263F"/>
          <w:kern w:val="0"/>
          <w14:ligatures w14:val="none"/>
        </w:rPr>
        <w:t>5.2 Outcome of the investigation</w:t>
      </w:r>
    </w:p>
    <w:p w14:paraId="3DFEBF4A"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 xml:space="preserve">Once the investigation – whether this was just the initial investigation of the concern, or whether further investigation was needed – is complete, the investigating person(s) will prepare a report detailing the findings and confirming </w:t>
      </w:r>
      <w:proofErr w:type="gramStart"/>
      <w:r w:rsidRPr="00C87F64">
        <w:rPr>
          <w:rFonts w:ascii="Arial" w:eastAsia="MS Mincho" w:hAnsi="Arial" w:cs="Times New Roman"/>
          <w:kern w:val="0"/>
          <w:sz w:val="20"/>
          <w14:ligatures w14:val="none"/>
        </w:rPr>
        <w:t>whether or not</w:t>
      </w:r>
      <w:proofErr w:type="gramEnd"/>
      <w:r w:rsidRPr="00C87F64">
        <w:rPr>
          <w:rFonts w:ascii="Arial" w:eastAsia="MS Mincho" w:hAnsi="Arial" w:cs="Times New Roman"/>
          <w:kern w:val="0"/>
          <w:sz w:val="20"/>
          <w14:ligatures w14:val="none"/>
        </w:rPr>
        <w:t xml:space="preserve"> any wrongdoing has occurred. The report will include any recommendations and details on how the matter can be rectified and </w:t>
      </w:r>
      <w:proofErr w:type="gramStart"/>
      <w:r w:rsidRPr="00C87F64">
        <w:rPr>
          <w:rFonts w:ascii="Arial" w:eastAsia="MS Mincho" w:hAnsi="Arial" w:cs="Times New Roman"/>
          <w:kern w:val="0"/>
          <w:sz w:val="20"/>
          <w14:ligatures w14:val="none"/>
        </w:rPr>
        <w:t>whether or not</w:t>
      </w:r>
      <w:proofErr w:type="gramEnd"/>
      <w:r w:rsidRPr="00C87F64">
        <w:rPr>
          <w:rFonts w:ascii="Arial" w:eastAsia="MS Mincho" w:hAnsi="Arial" w:cs="Times New Roman"/>
          <w:kern w:val="0"/>
          <w:sz w:val="20"/>
          <w14:ligatures w14:val="none"/>
        </w:rPr>
        <w:t xml:space="preserve"> a referral is required to an external organisation, such as the local authority or police.  </w:t>
      </w:r>
    </w:p>
    <w:p w14:paraId="70FD3D9E"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lastRenderedPageBreak/>
        <w:t>They will inform the person who raised the concern of the outcome of the investigation, though certain details may need to be restricted due to confidentiality.</w:t>
      </w:r>
    </w:p>
    <w:p w14:paraId="3E31B808" w14:textId="1D0C4B1E"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Beyond the immediate actions, the</w:t>
      </w:r>
      <w:r w:rsidR="00941528">
        <w:rPr>
          <w:rFonts w:ascii="Arial" w:eastAsia="MS Mincho" w:hAnsi="Arial" w:cs="Times New Roman"/>
          <w:kern w:val="0"/>
          <w:sz w:val="20"/>
          <w14:ligatures w14:val="none"/>
        </w:rPr>
        <w:t xml:space="preserve"> Headteacher</w:t>
      </w:r>
      <w:r w:rsidRPr="00C87F64">
        <w:rPr>
          <w:rFonts w:ascii="Arial" w:eastAsia="MS Mincho" w:hAnsi="Arial" w:cs="Times New Roman"/>
          <w:kern w:val="0"/>
          <w:sz w:val="20"/>
          <w14:ligatures w14:val="none"/>
        </w:rPr>
        <w:t xml:space="preserve">, </w:t>
      </w:r>
      <w:r w:rsidR="00602EA9">
        <w:rPr>
          <w:rFonts w:ascii="Arial" w:eastAsia="MS Mincho" w:hAnsi="Arial" w:cs="Times New Roman"/>
          <w:kern w:val="0"/>
          <w:sz w:val="20"/>
          <w14:ligatures w14:val="none"/>
        </w:rPr>
        <w:t>Board</w:t>
      </w:r>
      <w:r w:rsidRPr="00C87F64">
        <w:rPr>
          <w:rFonts w:ascii="Arial" w:eastAsia="MS Mincho" w:hAnsi="Arial" w:cs="Times New Roman"/>
          <w:kern w:val="0"/>
          <w:sz w:val="20"/>
          <w14:ligatures w14:val="none"/>
        </w:rPr>
        <w:t xml:space="preserve"> and other staff, if necessary, will review the relevant policies and procedures to prevent future occurrences of the same wrongdoing.</w:t>
      </w:r>
    </w:p>
    <w:p w14:paraId="146DD876" w14:textId="77777777" w:rsidR="00C87F64" w:rsidRPr="00C87F64" w:rsidRDefault="00C87F64" w:rsidP="00C87F64">
      <w:pPr>
        <w:spacing w:after="120" w:line="240" w:lineRule="auto"/>
        <w:rPr>
          <w:rFonts w:ascii="Arial" w:eastAsia="MS Mincho" w:hAnsi="Arial" w:cs="Times New Roman"/>
          <w:kern w:val="0"/>
          <w:sz w:val="20"/>
          <w14:ligatures w14:val="none"/>
        </w:rPr>
      </w:pPr>
      <w:r w:rsidRPr="00C87F64">
        <w:rPr>
          <w:rFonts w:ascii="Arial" w:eastAsia="MS Mincho" w:hAnsi="Arial" w:cs="Times New Roman"/>
          <w:kern w:val="0"/>
          <w:sz w:val="20"/>
          <w14:ligatures w14:val="none"/>
        </w:rPr>
        <w:t xml:space="preserve">Whilst we cannot always guarantee the outcome sought, we will try to deal with concerns fairly and in an appropriate way.  </w:t>
      </w:r>
    </w:p>
    <w:p w14:paraId="5515DA44" w14:textId="77777777"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bookmarkStart w:id="10" w:name="_Toc5708309"/>
      <w:bookmarkStart w:id="11" w:name="_Toc157062995"/>
      <w:r w:rsidRPr="00C87F64">
        <w:rPr>
          <w:rFonts w:ascii="Arial" w:eastAsia="Arial" w:hAnsi="Arial" w:cs="Arial"/>
          <w:b/>
          <w:color w:val="FF1F64"/>
          <w:kern w:val="0"/>
          <w:sz w:val="28"/>
          <w:szCs w:val="28"/>
          <w14:ligatures w14:val="none"/>
        </w:rPr>
        <w:t>6. Malicious or vexatious allegations</w:t>
      </w:r>
      <w:bookmarkEnd w:id="10"/>
      <w:bookmarkEnd w:id="11"/>
    </w:p>
    <w:p w14:paraId="426353C5" w14:textId="77777777" w:rsidR="00C87F64" w:rsidRPr="00C87F64" w:rsidRDefault="00C87F64" w:rsidP="00C87F64">
      <w:pPr>
        <w:spacing w:after="120" w:line="240" w:lineRule="auto"/>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Staff are encouraged to raise concerns when they believe there to potentially be an issue. If an allegation is made in good faith, but the investigation finds no wrongdoing, there will be no disciplinary action against the member of staff who raised the concern.</w:t>
      </w:r>
    </w:p>
    <w:p w14:paraId="77918A13" w14:textId="52013FC7" w:rsidR="00C87F64" w:rsidRPr="00C87F64"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 xml:space="preserve">If, however, an allegation is shown to be deliberately invented or malicious, the </w:t>
      </w:r>
      <w:r w:rsidR="00602EA9">
        <w:rPr>
          <w:rFonts w:ascii="Arial" w:eastAsia="Arial" w:hAnsi="Arial" w:cs="Arial"/>
          <w:kern w:val="0"/>
          <w:sz w:val="20"/>
          <w:szCs w:val="20"/>
          <w14:ligatures w14:val="none"/>
        </w:rPr>
        <w:t>school</w:t>
      </w:r>
      <w:r w:rsidRPr="00C87F64">
        <w:rPr>
          <w:rFonts w:ascii="Arial" w:eastAsia="Arial" w:hAnsi="Arial" w:cs="Arial"/>
          <w:kern w:val="0"/>
          <w:sz w:val="20"/>
          <w:szCs w:val="20"/>
          <w14:ligatures w14:val="none"/>
        </w:rPr>
        <w:t xml:space="preserve"> will consider whether any disciplinary action is appropriate against the person making the allegation.</w:t>
      </w:r>
    </w:p>
    <w:p w14:paraId="256AEF1E" w14:textId="71CDF81D"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bookmarkStart w:id="12" w:name="_Toc5708310"/>
      <w:bookmarkStart w:id="13" w:name="_Toc157062996"/>
      <w:r w:rsidRPr="00C87F64">
        <w:rPr>
          <w:rFonts w:ascii="Arial" w:eastAsia="Arial" w:hAnsi="Arial" w:cs="Arial"/>
          <w:b/>
          <w:color w:val="FF1F64"/>
          <w:kern w:val="0"/>
          <w:sz w:val="28"/>
          <w:szCs w:val="28"/>
          <w14:ligatures w14:val="none"/>
        </w:rPr>
        <w:t xml:space="preserve">7. Escalating concerns beyond the </w:t>
      </w:r>
      <w:bookmarkEnd w:id="12"/>
      <w:bookmarkEnd w:id="13"/>
      <w:r w:rsidR="00602EA9">
        <w:rPr>
          <w:rFonts w:ascii="Arial" w:eastAsia="Arial" w:hAnsi="Arial" w:cs="Arial"/>
          <w:b/>
          <w:color w:val="FF1F64"/>
          <w:kern w:val="0"/>
          <w:sz w:val="28"/>
          <w:szCs w:val="28"/>
          <w14:ligatures w14:val="none"/>
        </w:rPr>
        <w:t>school</w:t>
      </w:r>
    </w:p>
    <w:p w14:paraId="12642140" w14:textId="32DAFC7C" w:rsidR="00C87F64" w:rsidRPr="00C87F64" w:rsidRDefault="00C87F64" w:rsidP="00C87F64">
      <w:pPr>
        <w:spacing w:after="120" w:line="240" w:lineRule="auto"/>
        <w:rPr>
          <w:rFonts w:ascii="Arial" w:eastAsia="MS Mincho" w:hAnsi="Arial" w:cs="Times New Roman"/>
          <w:kern w:val="0"/>
          <w:sz w:val="20"/>
          <w:szCs w:val="20"/>
          <w14:ligatures w14:val="none"/>
        </w:rPr>
      </w:pPr>
      <w:r w:rsidRPr="00C87F64">
        <w:rPr>
          <w:rFonts w:ascii="Arial" w:eastAsia="Arial" w:hAnsi="Arial" w:cs="Arial"/>
          <w:kern w:val="0"/>
          <w:sz w:val="20"/>
          <w:szCs w:val="20"/>
          <w14:ligatures w14:val="none"/>
        </w:rPr>
        <w:t xml:space="preserve">The </w:t>
      </w:r>
      <w:r w:rsidR="00602EA9">
        <w:rPr>
          <w:rFonts w:ascii="Arial" w:eastAsia="Arial" w:hAnsi="Arial" w:cs="Arial"/>
          <w:kern w:val="0"/>
          <w:sz w:val="20"/>
          <w:szCs w:val="20"/>
          <w14:ligatures w14:val="none"/>
        </w:rPr>
        <w:t>school</w:t>
      </w:r>
      <w:r w:rsidRPr="00C87F64">
        <w:rPr>
          <w:rFonts w:ascii="Arial" w:eastAsia="Arial" w:hAnsi="Arial" w:cs="Arial"/>
          <w:kern w:val="0"/>
          <w:sz w:val="20"/>
          <w:szCs w:val="20"/>
          <w14:ligatures w14:val="none"/>
        </w:rPr>
        <w:t xml:space="preserve"> encourages staff to raise their concerns internally, in line with section 4 of this policy, but recognises that staff may feel the need to report concerns to an external body. A list of prescribed bodies to whom staff can raise concerns with is included </w:t>
      </w:r>
      <w:hyperlink r:id="rId14" w:anchor="education" w:history="1">
        <w:r w:rsidRPr="00C87F64">
          <w:rPr>
            <w:rFonts w:ascii="Arial" w:eastAsia="Arial" w:hAnsi="Arial" w:cs="Arial"/>
            <w:color w:val="0072CC"/>
            <w:kern w:val="0"/>
            <w:sz w:val="20"/>
            <w:szCs w:val="20"/>
            <w:u w:val="single" w:color="0072CC"/>
            <w14:ligatures w14:val="none"/>
          </w:rPr>
          <w:t>here</w:t>
        </w:r>
      </w:hyperlink>
      <w:r w:rsidRPr="00C87F64">
        <w:rPr>
          <w:rFonts w:ascii="Arial" w:eastAsia="Arial" w:hAnsi="Arial" w:cs="Arial"/>
          <w:kern w:val="0"/>
          <w:sz w:val="20"/>
          <w:szCs w:val="20"/>
          <w14:ligatures w14:val="none"/>
        </w:rPr>
        <w:t>.</w:t>
      </w:r>
    </w:p>
    <w:p w14:paraId="265C5571" w14:textId="77777777" w:rsidR="00C87F64" w:rsidRPr="00C87F64"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 xml:space="preserve">The Protect advice line, linked to in section 3 of this policy, can also help staff when deciding whether to raise the concern to an external party. </w:t>
      </w:r>
    </w:p>
    <w:p w14:paraId="3F468493" w14:textId="77777777" w:rsidR="00C87F64" w:rsidRPr="00C87F64" w:rsidRDefault="00C87F64" w:rsidP="00C87F64">
      <w:pPr>
        <w:spacing w:before="120" w:after="120" w:line="240" w:lineRule="auto"/>
        <w:outlineLvl w:val="0"/>
        <w:rPr>
          <w:rFonts w:ascii="Arial" w:eastAsia="Calibri" w:hAnsi="Arial" w:cs="Arial"/>
          <w:b/>
          <w:color w:val="FF1F64"/>
          <w:kern w:val="0"/>
          <w:sz w:val="28"/>
          <w:szCs w:val="28"/>
          <w14:ligatures w14:val="none"/>
        </w:rPr>
      </w:pPr>
      <w:bookmarkStart w:id="14" w:name="_Toc157062997"/>
      <w:r w:rsidRPr="00C87F64">
        <w:rPr>
          <w:rFonts w:ascii="Arial" w:eastAsia="Arial" w:hAnsi="Arial" w:cs="Arial"/>
          <w:b/>
          <w:color w:val="FF1F64"/>
          <w:kern w:val="0"/>
          <w:sz w:val="28"/>
          <w:szCs w:val="28"/>
          <w14:ligatures w14:val="none"/>
        </w:rPr>
        <w:t>8. Approval</w:t>
      </w:r>
      <w:bookmarkEnd w:id="14"/>
    </w:p>
    <w:p w14:paraId="0F58E1E8" w14:textId="13FE1EAE" w:rsidR="00C87F64" w:rsidRPr="00C87F64"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 xml:space="preserve">This policy will be reviewed every year. </w:t>
      </w:r>
    </w:p>
    <w:p w14:paraId="5FDF4756" w14:textId="77777777" w:rsidR="00C87F64" w:rsidRPr="00C87F64" w:rsidRDefault="00C87F64" w:rsidP="00C87F64">
      <w:pPr>
        <w:spacing w:after="120" w:line="240" w:lineRule="auto"/>
        <w:rPr>
          <w:rFonts w:ascii="Arial" w:eastAsia="Arial" w:hAnsi="Arial" w:cs="Arial"/>
          <w:kern w:val="0"/>
          <w:sz w:val="20"/>
          <w:szCs w:val="20"/>
          <w14:ligatures w14:val="none"/>
        </w:rPr>
      </w:pPr>
      <w:r w:rsidRPr="00C87F64">
        <w:rPr>
          <w:rFonts w:ascii="Arial" w:eastAsia="Arial" w:hAnsi="Arial" w:cs="Arial"/>
          <w:kern w:val="0"/>
          <w:sz w:val="20"/>
          <w:szCs w:val="20"/>
          <w14:ligatures w14:val="none"/>
        </w:rPr>
        <w:t xml:space="preserve">These procedures have been agreed by the board of trustees, who will approve them whenever reviewed. </w:t>
      </w:r>
    </w:p>
    <w:p w14:paraId="750D98AB" w14:textId="77777777" w:rsidR="00C87F64" w:rsidRPr="00C87F64" w:rsidRDefault="00C87F64">
      <w:pPr>
        <w:rPr>
          <w:lang w:val="en-US"/>
        </w:rPr>
      </w:pPr>
    </w:p>
    <w:sectPr w:rsidR="00C87F64" w:rsidRPr="00C87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numPicBullet w:numPicBulletId="1">
    <w:pict>
      <v:shape id="_x0000_i1027" type="#_x0000_t75" style="width:6.6pt;height:10.8pt" o:bullet="t">
        <v:imagedata r:id="rId2" o:title=""/>
      </v:shape>
    </w:pict>
  </w:numPicBullet>
  <w:abstractNum w:abstractNumId="0" w15:restartNumberingAfterBreak="0">
    <w:nsid w:val="00000001"/>
    <w:multiLevelType w:val="hybridMultilevel"/>
    <w:tmpl w:val="00000001"/>
    <w:lvl w:ilvl="0" w:tplc="A7A278EA">
      <w:start w:val="1"/>
      <w:numFmt w:val="bullet"/>
      <w:lvlText w:val=""/>
      <w:lvlPicBulletId w:val="1"/>
      <w:lvlJc w:val="left"/>
      <w:pPr>
        <w:ind w:left="720" w:hanging="360"/>
      </w:pPr>
      <w:rPr>
        <w:rFonts w:ascii="Symbol" w:hAnsi="Symbol"/>
        <w:b w:val="0"/>
        <w:bCs w:val="0"/>
        <w:sz w:val="25"/>
      </w:rPr>
    </w:lvl>
    <w:lvl w:ilvl="1" w:tplc="413AA418">
      <w:start w:val="1"/>
      <w:numFmt w:val="bullet"/>
      <w:lvlText w:val="o"/>
      <w:lvlJc w:val="left"/>
      <w:pPr>
        <w:tabs>
          <w:tab w:val="num" w:pos="1440"/>
        </w:tabs>
        <w:ind w:left="1440" w:hanging="360"/>
      </w:pPr>
      <w:rPr>
        <w:rFonts w:ascii="Courier New" w:hAnsi="Courier New"/>
      </w:rPr>
    </w:lvl>
    <w:lvl w:ilvl="2" w:tplc="C24A2A96">
      <w:start w:val="1"/>
      <w:numFmt w:val="bullet"/>
      <w:lvlText w:val=""/>
      <w:lvlJc w:val="left"/>
      <w:pPr>
        <w:tabs>
          <w:tab w:val="num" w:pos="2160"/>
        </w:tabs>
        <w:ind w:left="2160" w:hanging="360"/>
      </w:pPr>
      <w:rPr>
        <w:rFonts w:ascii="Wingdings" w:hAnsi="Wingdings"/>
      </w:rPr>
    </w:lvl>
    <w:lvl w:ilvl="3" w:tplc="1F6E3954">
      <w:start w:val="1"/>
      <w:numFmt w:val="bullet"/>
      <w:lvlText w:val=""/>
      <w:lvlJc w:val="left"/>
      <w:pPr>
        <w:tabs>
          <w:tab w:val="num" w:pos="2880"/>
        </w:tabs>
        <w:ind w:left="2880" w:hanging="360"/>
      </w:pPr>
      <w:rPr>
        <w:rFonts w:ascii="Symbol" w:hAnsi="Symbol"/>
      </w:rPr>
    </w:lvl>
    <w:lvl w:ilvl="4" w:tplc="DED2C8EC">
      <w:start w:val="1"/>
      <w:numFmt w:val="bullet"/>
      <w:lvlText w:val="o"/>
      <w:lvlJc w:val="left"/>
      <w:pPr>
        <w:tabs>
          <w:tab w:val="num" w:pos="3600"/>
        </w:tabs>
        <w:ind w:left="3600" w:hanging="360"/>
      </w:pPr>
      <w:rPr>
        <w:rFonts w:ascii="Courier New" w:hAnsi="Courier New"/>
      </w:rPr>
    </w:lvl>
    <w:lvl w:ilvl="5" w:tplc="9B22EBF2">
      <w:start w:val="1"/>
      <w:numFmt w:val="bullet"/>
      <w:lvlText w:val=""/>
      <w:lvlJc w:val="left"/>
      <w:pPr>
        <w:tabs>
          <w:tab w:val="num" w:pos="4320"/>
        </w:tabs>
        <w:ind w:left="4320" w:hanging="360"/>
      </w:pPr>
      <w:rPr>
        <w:rFonts w:ascii="Wingdings" w:hAnsi="Wingdings"/>
      </w:rPr>
    </w:lvl>
    <w:lvl w:ilvl="6" w:tplc="31B6A2CA">
      <w:start w:val="1"/>
      <w:numFmt w:val="bullet"/>
      <w:lvlText w:val=""/>
      <w:lvlJc w:val="left"/>
      <w:pPr>
        <w:tabs>
          <w:tab w:val="num" w:pos="5040"/>
        </w:tabs>
        <w:ind w:left="5040" w:hanging="360"/>
      </w:pPr>
      <w:rPr>
        <w:rFonts w:ascii="Symbol" w:hAnsi="Symbol"/>
      </w:rPr>
    </w:lvl>
    <w:lvl w:ilvl="7" w:tplc="ABA8EC9C">
      <w:start w:val="1"/>
      <w:numFmt w:val="bullet"/>
      <w:lvlText w:val="o"/>
      <w:lvlJc w:val="left"/>
      <w:pPr>
        <w:tabs>
          <w:tab w:val="num" w:pos="5760"/>
        </w:tabs>
        <w:ind w:left="5760" w:hanging="360"/>
      </w:pPr>
      <w:rPr>
        <w:rFonts w:ascii="Courier New" w:hAnsi="Courier New"/>
      </w:rPr>
    </w:lvl>
    <w:lvl w:ilvl="8" w:tplc="BB6CD454">
      <w:start w:val="1"/>
      <w:numFmt w:val="bullet"/>
      <w:lvlText w:val=""/>
      <w:lvlJc w:val="left"/>
      <w:pPr>
        <w:tabs>
          <w:tab w:val="num" w:pos="6480"/>
        </w:tabs>
        <w:ind w:left="6480" w:hanging="360"/>
      </w:pPr>
      <w:rPr>
        <w:rFonts w:ascii="Wingdings" w:hAnsi="Wingdings"/>
      </w:rPr>
    </w:lvl>
  </w:abstractNum>
  <w:abstractNum w:abstractNumId="1" w15:restartNumberingAfterBreak="0">
    <w:nsid w:val="640E4604"/>
    <w:multiLevelType w:val="hybridMultilevel"/>
    <w:tmpl w:val="7B90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9037936">
    <w:abstractNumId w:val="2"/>
  </w:num>
  <w:num w:numId="2" w16cid:durableId="1920290615">
    <w:abstractNumId w:val="0"/>
  </w:num>
  <w:num w:numId="3" w16cid:durableId="214639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64"/>
    <w:rsid w:val="000470CD"/>
    <w:rsid w:val="00052E90"/>
    <w:rsid w:val="001504E3"/>
    <w:rsid w:val="001E1CF6"/>
    <w:rsid w:val="00223C84"/>
    <w:rsid w:val="00242FDE"/>
    <w:rsid w:val="005B3BF0"/>
    <w:rsid w:val="00602EA9"/>
    <w:rsid w:val="006046E5"/>
    <w:rsid w:val="00892531"/>
    <w:rsid w:val="00941528"/>
    <w:rsid w:val="00961606"/>
    <w:rsid w:val="009668C7"/>
    <w:rsid w:val="00B54D7B"/>
    <w:rsid w:val="00BC32B0"/>
    <w:rsid w:val="00C25869"/>
    <w:rsid w:val="00C87F64"/>
    <w:rsid w:val="00EC60A4"/>
    <w:rsid w:val="00F26979"/>
    <w:rsid w:val="00FD62DA"/>
    <w:rsid w:val="07018E48"/>
    <w:rsid w:val="7AB45E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048912"/>
  <w15:chartTrackingRefBased/>
  <w15:docId w15:val="{ED5F7659-AF50-4F47-A780-DEC7C082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F64"/>
    <w:rPr>
      <w:rFonts w:eastAsiaTheme="majorEastAsia" w:cstheme="majorBidi"/>
      <w:color w:val="272727" w:themeColor="text1" w:themeTint="D8"/>
    </w:rPr>
  </w:style>
  <w:style w:type="paragraph" w:styleId="Title">
    <w:name w:val="Title"/>
    <w:basedOn w:val="Normal"/>
    <w:next w:val="Normal"/>
    <w:link w:val="TitleChar"/>
    <w:uiPriority w:val="10"/>
    <w:qFormat/>
    <w:rsid w:val="00C8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F64"/>
    <w:pPr>
      <w:spacing w:before="160"/>
      <w:jc w:val="center"/>
    </w:pPr>
    <w:rPr>
      <w:i/>
      <w:iCs/>
      <w:color w:val="404040" w:themeColor="text1" w:themeTint="BF"/>
    </w:rPr>
  </w:style>
  <w:style w:type="character" w:customStyle="1" w:styleId="QuoteChar">
    <w:name w:val="Quote Char"/>
    <w:basedOn w:val="DefaultParagraphFont"/>
    <w:link w:val="Quote"/>
    <w:uiPriority w:val="29"/>
    <w:rsid w:val="00C87F64"/>
    <w:rPr>
      <w:i/>
      <w:iCs/>
      <w:color w:val="404040" w:themeColor="text1" w:themeTint="BF"/>
    </w:rPr>
  </w:style>
  <w:style w:type="paragraph" w:styleId="ListParagraph">
    <w:name w:val="List Paragraph"/>
    <w:basedOn w:val="Normal"/>
    <w:uiPriority w:val="34"/>
    <w:qFormat/>
    <w:rsid w:val="00C87F64"/>
    <w:pPr>
      <w:ind w:left="720"/>
      <w:contextualSpacing/>
    </w:pPr>
  </w:style>
  <w:style w:type="character" w:styleId="IntenseEmphasis">
    <w:name w:val="Intense Emphasis"/>
    <w:basedOn w:val="DefaultParagraphFont"/>
    <w:uiPriority w:val="21"/>
    <w:qFormat/>
    <w:rsid w:val="00C87F64"/>
    <w:rPr>
      <w:i/>
      <w:iCs/>
      <w:color w:val="0F4761" w:themeColor="accent1" w:themeShade="BF"/>
    </w:rPr>
  </w:style>
  <w:style w:type="paragraph" w:styleId="IntenseQuote">
    <w:name w:val="Intense Quote"/>
    <w:basedOn w:val="Normal"/>
    <w:next w:val="Normal"/>
    <w:link w:val="IntenseQuoteChar"/>
    <w:uiPriority w:val="30"/>
    <w:qFormat/>
    <w:rsid w:val="00C87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F64"/>
    <w:rPr>
      <w:i/>
      <w:iCs/>
      <w:color w:val="0F4761" w:themeColor="accent1" w:themeShade="BF"/>
    </w:rPr>
  </w:style>
  <w:style w:type="character" w:styleId="IntenseReference">
    <w:name w:val="Intense Reference"/>
    <w:basedOn w:val="DefaultParagraphFont"/>
    <w:uiPriority w:val="32"/>
    <w:qFormat/>
    <w:rsid w:val="00C87F64"/>
    <w:rPr>
      <w:b/>
      <w:bCs/>
      <w:smallCaps/>
      <w:color w:val="0F4761" w:themeColor="accent1" w:themeShade="BF"/>
      <w:spacing w:val="5"/>
    </w:rPr>
  </w:style>
  <w:style w:type="paragraph" w:customStyle="1" w:styleId="4Bulletedcopyblue">
    <w:name w:val="4 Bulleted copy blue"/>
    <w:basedOn w:val="Normal"/>
    <w:qFormat/>
    <w:rsid w:val="00C87F64"/>
    <w:pPr>
      <w:numPr>
        <w:numId w:val="1"/>
      </w:numPr>
      <w:spacing w:after="12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protect-advice.org.uk/contact-protect-advice-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advice.org.uk/what-is-whistleblow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8/23/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whistleblowing" TargetMode="Externa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hyperlink" Target="https://www.gov.uk/government/publications/blowing-the-whistle-list-of-prescribed-people-and-bodies--2/whistleblowing-list-of-prescribed-people-and-bodie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F9DABD92D1E64792014310496DD562" ma:contentTypeVersion="8" ma:contentTypeDescription="Create a new document." ma:contentTypeScope="" ma:versionID="fb7560edac40ce00a0c99fe63f2b65d6">
  <xsd:schema xmlns:xsd="http://www.w3.org/2001/XMLSchema" xmlns:xs="http://www.w3.org/2001/XMLSchema" xmlns:p="http://schemas.microsoft.com/office/2006/metadata/properties" xmlns:ns2="345ac21f-9042-4bfa-b863-a2470e441442" targetNamespace="http://schemas.microsoft.com/office/2006/metadata/properties" ma:root="true" ma:fieldsID="7e8e8c99de5296dbb9e1143b0330af90" ns2:_="">
    <xsd:import namespace="345ac21f-9042-4bfa-b863-a2470e441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ac21f-9042-4bfa-b863-a2470e44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59270-F5FA-445D-B21E-9415EFC999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DD008-715C-42C6-A837-A12783308225}">
  <ds:schemaRefs>
    <ds:schemaRef ds:uri="http://schemas.microsoft.com/sharepoint/v3/contenttype/forms"/>
  </ds:schemaRefs>
</ds:datastoreItem>
</file>

<file path=customXml/itemProps3.xml><?xml version="1.0" encoding="utf-8"?>
<ds:datastoreItem xmlns:ds="http://schemas.openxmlformats.org/officeDocument/2006/customXml" ds:itemID="{F0C32917-F91C-4E65-907A-45834E4ED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ac21f-9042-4bfa-b863-a2470e441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Ifsheen Akhtar</dc:creator>
  <cp:keywords/>
  <dc:description/>
  <cp:lastModifiedBy>Omar Halimy</cp:lastModifiedBy>
  <cp:revision>4</cp:revision>
  <dcterms:created xsi:type="dcterms:W3CDTF">2025-10-09T11:01:00Z</dcterms:created>
  <dcterms:modified xsi:type="dcterms:W3CDTF">2025-10-22T23:06:00Z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0x010100C4F9DABD92D1E64792014310496DD562</vt:lpwstr>
  </property>
</Properties>
</file>