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8C85" w14:textId="77777777" w:rsidR="00C960E5" w:rsidRPr="00EB0E3D" w:rsidRDefault="00D028A3" w:rsidP="00EB0E3D">
      <w:pPr>
        <w:jc w:val="center"/>
        <w:rPr>
          <w:sz w:val="48"/>
          <w:szCs w:val="48"/>
        </w:rPr>
      </w:pPr>
      <w:r w:rsidRPr="00EB0E3D">
        <w:rPr>
          <w:b/>
          <w:sz w:val="96"/>
          <w:szCs w:val="48"/>
        </w:rPr>
        <w:t>Complaints Policy (Parents)</w:t>
      </w:r>
    </w:p>
    <w:p w14:paraId="1DFFC2E1" w14:textId="070D922E" w:rsidR="00C960E5" w:rsidRDefault="00744645" w:rsidP="61DD6990">
      <w:pPr>
        <w:jc w:val="center"/>
        <w:rPr>
          <w:i/>
          <w:iCs/>
          <w:sz w:val="48"/>
          <w:szCs w:val="48"/>
        </w:rPr>
      </w:pPr>
      <w:proofErr w:type="spellStart"/>
      <w:r>
        <w:rPr>
          <w:i/>
          <w:iCs/>
          <w:sz w:val="48"/>
          <w:szCs w:val="48"/>
        </w:rPr>
        <w:t>Nuqtah</w:t>
      </w:r>
      <w:proofErr w:type="spellEnd"/>
      <w:r w:rsidR="7B389716" w:rsidRPr="61DD6990">
        <w:rPr>
          <w:i/>
          <w:iCs/>
          <w:sz w:val="48"/>
          <w:szCs w:val="48"/>
        </w:rPr>
        <w:t xml:space="preserve"> Primary</w:t>
      </w:r>
      <w:r w:rsidR="5E473912" w:rsidRPr="61DD6990">
        <w:rPr>
          <w:i/>
          <w:iCs/>
          <w:sz w:val="48"/>
          <w:szCs w:val="48"/>
        </w:rPr>
        <w:t xml:space="preserve"> School (Independent School)</w:t>
      </w:r>
    </w:p>
    <w:p w14:paraId="4B7700A8" w14:textId="77777777" w:rsidR="00EB0E3D" w:rsidRDefault="00EB0E3D" w:rsidP="00EB0E3D">
      <w:pPr>
        <w:jc w:val="center"/>
        <w:rPr>
          <w:i/>
          <w:sz w:val="48"/>
          <w:szCs w:val="48"/>
        </w:rPr>
      </w:pPr>
    </w:p>
    <w:p w14:paraId="36D03C04" w14:textId="1C0BF5B2" w:rsidR="00EB0E3D" w:rsidRDefault="00EB0E3D" w:rsidP="00EB0E3D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2025-2026</w:t>
      </w:r>
    </w:p>
    <w:p w14:paraId="27A78A78" w14:textId="77777777" w:rsidR="00EB0E3D" w:rsidRDefault="00EB0E3D" w:rsidP="00EB0E3D">
      <w:pPr>
        <w:jc w:val="center"/>
        <w:rPr>
          <w:i/>
          <w:sz w:val="48"/>
          <w:szCs w:val="48"/>
        </w:rPr>
      </w:pPr>
    </w:p>
    <w:p w14:paraId="4D5748CE" w14:textId="488518AD" w:rsidR="00EB0E3D" w:rsidRDefault="00D028A3" w:rsidP="00EB0E3D">
      <w:pPr>
        <w:jc w:val="center"/>
        <w:rPr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70CF87" wp14:editId="7919F404">
            <wp:simplePos x="0" y="0"/>
            <wp:positionH relativeFrom="column">
              <wp:posOffset>1927860</wp:posOffset>
            </wp:positionH>
            <wp:positionV relativeFrom="paragraph">
              <wp:posOffset>8890</wp:posOffset>
            </wp:positionV>
            <wp:extent cx="1623060" cy="1623060"/>
            <wp:effectExtent l="0" t="0" r="0" b="0"/>
            <wp:wrapNone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0BE21" w14:textId="264ACB42" w:rsidR="00EB0E3D" w:rsidRDefault="00EB0E3D" w:rsidP="00EB0E3D">
      <w:pPr>
        <w:jc w:val="center"/>
        <w:rPr>
          <w:i/>
          <w:sz w:val="48"/>
          <w:szCs w:val="48"/>
        </w:rPr>
      </w:pPr>
    </w:p>
    <w:p w14:paraId="2504B797" w14:textId="70A02E63" w:rsidR="00EB0E3D" w:rsidRPr="00D028A3" w:rsidRDefault="00EB0E3D" w:rsidP="00EB0E3D">
      <w:pPr>
        <w:jc w:val="center"/>
        <w:rPr>
          <w:b/>
          <w:bCs/>
          <w:i/>
          <w:sz w:val="48"/>
          <w:szCs w:val="48"/>
        </w:rPr>
      </w:pPr>
    </w:p>
    <w:p w14:paraId="4C46A9C1" w14:textId="35107ED6" w:rsidR="00EB0E3D" w:rsidRDefault="00D028A3" w:rsidP="00EB0E3D">
      <w:pPr>
        <w:jc w:val="center"/>
        <w:rPr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1BFC29" wp14:editId="3C1AE155">
            <wp:simplePos x="0" y="0"/>
            <wp:positionH relativeFrom="column">
              <wp:posOffset>1927860</wp:posOffset>
            </wp:positionH>
            <wp:positionV relativeFrom="paragraph">
              <wp:posOffset>10160</wp:posOffset>
            </wp:positionV>
            <wp:extent cx="1623060" cy="1623060"/>
            <wp:effectExtent l="0" t="0" r="0" b="0"/>
            <wp:wrapNone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35592" w14:textId="77777777" w:rsidR="00EB0E3D" w:rsidRDefault="00EB0E3D" w:rsidP="00EB0E3D">
      <w:pPr>
        <w:jc w:val="center"/>
        <w:rPr>
          <w:i/>
          <w:sz w:val="48"/>
          <w:szCs w:val="48"/>
        </w:rPr>
      </w:pPr>
    </w:p>
    <w:p w14:paraId="646B697B" w14:textId="77777777" w:rsidR="00EB0E3D" w:rsidRDefault="00EB0E3D" w:rsidP="00EB0E3D">
      <w:pPr>
        <w:jc w:val="center"/>
        <w:rPr>
          <w:i/>
          <w:sz w:val="48"/>
          <w:szCs w:val="48"/>
        </w:rPr>
      </w:pPr>
    </w:p>
    <w:p w14:paraId="16FFB43B" w14:textId="564ADC13" w:rsidR="00EB0E3D" w:rsidRPr="00EB0E3D" w:rsidRDefault="00EB0E3D" w:rsidP="00EB0E3D">
      <w:pPr>
        <w:jc w:val="center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C960E5" w14:paraId="07E18D69" w14:textId="77777777">
        <w:tc>
          <w:tcPr>
            <w:tcW w:w="4320" w:type="dxa"/>
          </w:tcPr>
          <w:p w14:paraId="77E3EF40" w14:textId="77777777" w:rsidR="00C960E5" w:rsidRDefault="00D028A3">
            <w:r>
              <w:lastRenderedPageBreak/>
              <w:t>Policy owner</w:t>
            </w:r>
          </w:p>
        </w:tc>
        <w:tc>
          <w:tcPr>
            <w:tcW w:w="4320" w:type="dxa"/>
          </w:tcPr>
          <w:p w14:paraId="7E5E6F52" w14:textId="77777777" w:rsidR="00C960E5" w:rsidRDefault="00D028A3">
            <w:r>
              <w:t>Proprietor/Headteacher</w:t>
            </w:r>
          </w:p>
        </w:tc>
      </w:tr>
      <w:tr w:rsidR="00C960E5" w14:paraId="4DDAFC6D" w14:textId="77777777">
        <w:tc>
          <w:tcPr>
            <w:tcW w:w="4320" w:type="dxa"/>
          </w:tcPr>
          <w:p w14:paraId="72FAA8EB" w14:textId="77777777" w:rsidR="00C960E5" w:rsidRDefault="00D028A3">
            <w:r>
              <w:t>Applies to</w:t>
            </w:r>
          </w:p>
        </w:tc>
        <w:tc>
          <w:tcPr>
            <w:tcW w:w="4320" w:type="dxa"/>
          </w:tcPr>
          <w:p w14:paraId="152F2CEB" w14:textId="77777777" w:rsidR="00C960E5" w:rsidRDefault="00D028A3">
            <w:r>
              <w:t>Complaints from parents of pupils</w:t>
            </w:r>
          </w:p>
        </w:tc>
      </w:tr>
      <w:tr w:rsidR="00C960E5" w14:paraId="73D90FEB" w14:textId="77777777">
        <w:tc>
          <w:tcPr>
            <w:tcW w:w="4320" w:type="dxa"/>
          </w:tcPr>
          <w:p w14:paraId="577E5F21" w14:textId="77777777" w:rsidR="00C960E5" w:rsidRDefault="00D028A3">
            <w:r>
              <w:t>Review cycle</w:t>
            </w:r>
          </w:p>
        </w:tc>
        <w:tc>
          <w:tcPr>
            <w:tcW w:w="4320" w:type="dxa"/>
          </w:tcPr>
          <w:p w14:paraId="26144CF5" w14:textId="77777777" w:rsidR="00C960E5" w:rsidRDefault="00D028A3">
            <w:r>
              <w:t>Annual</w:t>
            </w:r>
          </w:p>
        </w:tc>
      </w:tr>
      <w:tr w:rsidR="00C960E5" w14:paraId="616AED8D" w14:textId="77777777">
        <w:tc>
          <w:tcPr>
            <w:tcW w:w="4320" w:type="dxa"/>
          </w:tcPr>
          <w:p w14:paraId="69449E0F" w14:textId="77777777" w:rsidR="00C960E5" w:rsidRDefault="00D028A3">
            <w:r>
              <w:t>Next review due</w:t>
            </w:r>
          </w:p>
        </w:tc>
        <w:tc>
          <w:tcPr>
            <w:tcW w:w="4320" w:type="dxa"/>
          </w:tcPr>
          <w:p w14:paraId="087090AD" w14:textId="6D1836EF" w:rsidR="00C960E5" w:rsidRDefault="00EB0E3D">
            <w:r>
              <w:t>September 2026</w:t>
            </w:r>
          </w:p>
        </w:tc>
      </w:tr>
    </w:tbl>
    <w:p w14:paraId="5E28169C" w14:textId="77777777" w:rsidR="00C960E5" w:rsidRDefault="00D028A3">
      <w:pPr>
        <w:pStyle w:val="Heading1"/>
      </w:pPr>
      <w:r>
        <w:t>1. Purpose and scope</w:t>
      </w:r>
    </w:p>
    <w:p w14:paraId="42F83716" w14:textId="6E396828" w:rsidR="00C960E5" w:rsidRDefault="5E473912">
      <w:pPr>
        <w:spacing w:after="120"/>
      </w:pPr>
      <w:r>
        <w:t xml:space="preserve">This policy sets out how </w:t>
      </w:r>
      <w:proofErr w:type="spellStart"/>
      <w:r w:rsidR="00744645">
        <w:t>Nuqtah</w:t>
      </w:r>
      <w:proofErr w:type="spellEnd"/>
      <w:r w:rsidR="3F25B5E0">
        <w:t xml:space="preserve"> Primary</w:t>
      </w:r>
      <w:r>
        <w:t xml:space="preserve"> School (“the </w:t>
      </w:r>
      <w:proofErr w:type="gramStart"/>
      <w:r>
        <w:t>School</w:t>
      </w:r>
      <w:proofErr w:type="gramEnd"/>
      <w:r>
        <w:t>”) handles complaints from parents of pupils. It meets the ‘Manner in which complaints are handled’ standard (Part 7) in the Education (Independent School Standards) Regulations 2014 and provides a clear, three‑stage process: Stage 1 informal resolution; Stage 2 formal written complaint; Stage 3 independent panel hearing.</w:t>
      </w:r>
    </w:p>
    <w:p w14:paraId="47662DB8" w14:textId="77777777" w:rsidR="00C960E5" w:rsidRDefault="00D028A3">
      <w:pPr>
        <w:pStyle w:val="ListBullet"/>
        <w:spacing w:after="40"/>
      </w:pPr>
      <w:r>
        <w:t>A “parent” includes a parent, carer or person with parental responsibility.</w:t>
      </w:r>
    </w:p>
    <w:p w14:paraId="35F4C6CF" w14:textId="77777777" w:rsidR="00C960E5" w:rsidRDefault="00D028A3">
      <w:pPr>
        <w:pStyle w:val="ListBullet"/>
        <w:spacing w:after="40"/>
      </w:pPr>
      <w:r>
        <w:t>This policy does not apply to matters with separate statutory procedures (e.g. admissions, exclusions, child protection/safeguarding allegations, whistleblowing, staff grievances).</w:t>
      </w:r>
    </w:p>
    <w:p w14:paraId="0A7BBA4F" w14:textId="77777777" w:rsidR="00C960E5" w:rsidRDefault="00D028A3">
      <w:pPr>
        <w:pStyle w:val="ListBullet"/>
        <w:spacing w:after="40"/>
      </w:pPr>
      <w:r>
        <w:t>Complaints about the Headteacher should be addressed to the Chair of Governors/Proprietor at Stage 2.</w:t>
      </w:r>
    </w:p>
    <w:p w14:paraId="47A72AA3" w14:textId="77777777" w:rsidR="00C960E5" w:rsidRDefault="00D028A3">
      <w:pPr>
        <w:pStyle w:val="ListBullet"/>
        <w:spacing w:after="40"/>
      </w:pPr>
      <w:r>
        <w:t>Complaints relating to EYFS provision include additional requirements (see section 9).</w:t>
      </w:r>
    </w:p>
    <w:p w14:paraId="731B830F" w14:textId="77777777" w:rsidR="00C960E5" w:rsidRDefault="00D028A3">
      <w:pPr>
        <w:pStyle w:val="Heading1"/>
      </w:pPr>
      <w:r>
        <w:t>2. Principles</w:t>
      </w:r>
    </w:p>
    <w:p w14:paraId="017FBA1C" w14:textId="77777777" w:rsidR="00C960E5" w:rsidRDefault="00D028A3">
      <w:pPr>
        <w:pStyle w:val="ListBullet"/>
        <w:spacing w:after="40"/>
      </w:pPr>
      <w:r>
        <w:t>Fairness, timeliness and transparency: clear timescales; reasons provided for decisions.</w:t>
      </w:r>
    </w:p>
    <w:p w14:paraId="1C1367C4" w14:textId="77777777" w:rsidR="00C960E5" w:rsidRDefault="00D028A3">
      <w:pPr>
        <w:pStyle w:val="ListBullet"/>
        <w:spacing w:after="40"/>
      </w:pPr>
      <w:r>
        <w:t>Accessibility: complaints may be made in person, by phone, email or in writing. Reasonable adjustments will be offered to remove barriers to communication.</w:t>
      </w:r>
    </w:p>
    <w:p w14:paraId="2F808865" w14:textId="77777777" w:rsidR="00C960E5" w:rsidRDefault="00D028A3">
      <w:pPr>
        <w:pStyle w:val="ListBullet"/>
        <w:spacing w:after="40"/>
      </w:pPr>
      <w:r>
        <w:t xml:space="preserve">No detriment: pupils and complainants will not be </w:t>
      </w:r>
      <w:proofErr w:type="spellStart"/>
      <w:r>
        <w:t>penalised</w:t>
      </w:r>
      <w:proofErr w:type="spellEnd"/>
      <w:r>
        <w:t xml:space="preserve"> for raising concerns in good faith.</w:t>
      </w:r>
    </w:p>
    <w:p w14:paraId="70FD66E3" w14:textId="77777777" w:rsidR="00C960E5" w:rsidRDefault="00D028A3">
      <w:pPr>
        <w:pStyle w:val="ListBullet"/>
        <w:spacing w:after="40"/>
      </w:pPr>
      <w:r>
        <w:t>Confidentiality: correspondence, statements and records are kept confidential except where disclosure is required by law or requested by the inspectorate.</w:t>
      </w:r>
    </w:p>
    <w:p w14:paraId="44611301" w14:textId="77777777" w:rsidR="00C960E5" w:rsidRDefault="00D028A3">
      <w:pPr>
        <w:pStyle w:val="Heading1"/>
      </w:pPr>
      <w:r>
        <w:t>3. Overview of stages and timescales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60E5" w14:paraId="6F93CECC" w14:textId="77777777">
        <w:tc>
          <w:tcPr>
            <w:tcW w:w="4320" w:type="dxa"/>
          </w:tcPr>
          <w:p w14:paraId="5B22EB3F" w14:textId="77777777" w:rsidR="00C960E5" w:rsidRDefault="00D028A3">
            <w:r>
              <w:t>Stage 1 – Informal</w:t>
            </w:r>
          </w:p>
        </w:tc>
        <w:tc>
          <w:tcPr>
            <w:tcW w:w="4320" w:type="dxa"/>
          </w:tcPr>
          <w:p w14:paraId="65A7C094" w14:textId="77777777" w:rsidR="00C960E5" w:rsidRDefault="00D028A3">
            <w:r>
              <w:t>Raise with class teacher or relevant member of staff. Acknowledge within 3 school days and aim to resolve within 10 school days.</w:t>
            </w:r>
          </w:p>
        </w:tc>
      </w:tr>
      <w:tr w:rsidR="00C960E5" w14:paraId="7D660CD5" w14:textId="77777777">
        <w:tc>
          <w:tcPr>
            <w:tcW w:w="4320" w:type="dxa"/>
          </w:tcPr>
          <w:p w14:paraId="14714A91" w14:textId="77777777" w:rsidR="00C960E5" w:rsidRDefault="00D028A3">
            <w:r>
              <w:t>Stage 2 – Formal (written)</w:t>
            </w:r>
          </w:p>
        </w:tc>
        <w:tc>
          <w:tcPr>
            <w:tcW w:w="4320" w:type="dxa"/>
          </w:tcPr>
          <w:p w14:paraId="59466A3A" w14:textId="77777777" w:rsidR="00C960E5" w:rsidRDefault="00D028A3">
            <w:r>
              <w:t>Write to the Headteacher (or Chair if about the Head). Acknowledge within 3 school days. Investigation and written outcome within 15 school days.</w:t>
            </w:r>
          </w:p>
        </w:tc>
      </w:tr>
      <w:tr w:rsidR="00C960E5" w14:paraId="100313D2" w14:textId="77777777">
        <w:tc>
          <w:tcPr>
            <w:tcW w:w="4320" w:type="dxa"/>
          </w:tcPr>
          <w:p w14:paraId="4F073872" w14:textId="77777777" w:rsidR="00C960E5" w:rsidRDefault="00D028A3">
            <w:r>
              <w:t>Stage 3 – Independent panel hearing</w:t>
            </w:r>
          </w:p>
        </w:tc>
        <w:tc>
          <w:tcPr>
            <w:tcW w:w="4320" w:type="dxa"/>
          </w:tcPr>
          <w:p w14:paraId="630D4AFF" w14:textId="77777777" w:rsidR="00C960E5" w:rsidRDefault="00D028A3">
            <w:r>
              <w:t xml:space="preserve">Request a panel within 10 school days of Stage 2 outcome. Hearing scheduled as soon as practicable and normally within 20 school days. Written findings and </w:t>
            </w:r>
            <w:r>
              <w:lastRenderedPageBreak/>
              <w:t>recommendations sent within 10 school days of the hearing.</w:t>
            </w:r>
          </w:p>
        </w:tc>
      </w:tr>
    </w:tbl>
    <w:p w14:paraId="611C2A71" w14:textId="77777777" w:rsidR="00C960E5" w:rsidRDefault="00D028A3">
      <w:pPr>
        <w:pStyle w:val="Heading1"/>
      </w:pPr>
      <w:r>
        <w:lastRenderedPageBreak/>
        <w:t>4. Stage 1 – Informal resolution</w:t>
      </w:r>
    </w:p>
    <w:p w14:paraId="10951203" w14:textId="77777777" w:rsidR="00C960E5" w:rsidRDefault="00D028A3">
      <w:pPr>
        <w:pStyle w:val="ListBullet"/>
        <w:spacing w:after="40"/>
      </w:pPr>
      <w:r>
        <w:t>Parents should raise concerns promptly with the class teacher or the member of staff most directly involved. Many concerns can be resolved quickly and informally.</w:t>
      </w:r>
    </w:p>
    <w:p w14:paraId="41E0B237" w14:textId="77777777" w:rsidR="00C960E5" w:rsidRDefault="00D028A3">
      <w:pPr>
        <w:pStyle w:val="ListBullet"/>
        <w:spacing w:after="40"/>
      </w:pPr>
      <w:r>
        <w:t>If the parent remains dissatisfied, they may request a discussion with the relevant senior leader or the Headteacher.</w:t>
      </w:r>
    </w:p>
    <w:p w14:paraId="6421B980" w14:textId="77777777" w:rsidR="00C960E5" w:rsidRDefault="00D028A3">
      <w:pPr>
        <w:pStyle w:val="ListBullet"/>
        <w:spacing w:after="40"/>
      </w:pPr>
      <w:r>
        <w:t xml:space="preserve">The </w:t>
      </w:r>
      <w:proofErr w:type="gramStart"/>
      <w:r>
        <w:t>School</w:t>
      </w:r>
      <w:proofErr w:type="gramEnd"/>
      <w:r>
        <w:t xml:space="preserve"> will acknowledge the concern within 3 school days and aim to resolve within 10 school days. Where further time is needed (e.g. staff absence or school holidays), the </w:t>
      </w:r>
      <w:proofErr w:type="gramStart"/>
      <w:r>
        <w:t>School</w:t>
      </w:r>
      <w:proofErr w:type="gramEnd"/>
      <w:r>
        <w:t xml:space="preserve"> will explain the reason and give a revised timescale.</w:t>
      </w:r>
    </w:p>
    <w:p w14:paraId="7CD65550" w14:textId="77777777" w:rsidR="00C960E5" w:rsidRDefault="00D028A3">
      <w:pPr>
        <w:pStyle w:val="Heading1"/>
      </w:pPr>
      <w:r>
        <w:t>5. Stage 2 – Formal written complaint</w:t>
      </w:r>
    </w:p>
    <w:p w14:paraId="4593DAE5" w14:textId="3F430293" w:rsidR="00C960E5" w:rsidRDefault="00D028A3">
      <w:pPr>
        <w:pStyle w:val="ListBullet"/>
        <w:spacing w:after="40"/>
      </w:pPr>
      <w:r>
        <w:t xml:space="preserve">Submit the complaint in writing to the Headteacher using the Complaint Form (Appendix A) or by email/letter. If the complaint concerns the Headteacher, address it to the Chair of Governors/Proprietor (via the </w:t>
      </w:r>
      <w:r w:rsidR="00EB0E3D">
        <w:t>office</w:t>
      </w:r>
      <w:r>
        <w:t>).</w:t>
      </w:r>
    </w:p>
    <w:p w14:paraId="54414E58" w14:textId="77777777" w:rsidR="00C960E5" w:rsidRDefault="00D028A3">
      <w:pPr>
        <w:pStyle w:val="ListBullet"/>
        <w:spacing w:after="40"/>
      </w:pPr>
      <w:r>
        <w:t xml:space="preserve">Acknowledgement will be sent within 3 school days, confirming the </w:t>
      </w:r>
      <w:proofErr w:type="gramStart"/>
      <w:r>
        <w:t>investigating</w:t>
      </w:r>
      <w:proofErr w:type="gramEnd"/>
      <w:r>
        <w:t xml:space="preserve"> officer and the next steps.</w:t>
      </w:r>
    </w:p>
    <w:p w14:paraId="686766EC" w14:textId="77777777" w:rsidR="00C960E5" w:rsidRDefault="00D028A3">
      <w:pPr>
        <w:pStyle w:val="ListBullet"/>
        <w:spacing w:after="40"/>
      </w:pPr>
      <w:r>
        <w:t xml:space="preserve">The </w:t>
      </w:r>
      <w:proofErr w:type="gramStart"/>
      <w:r>
        <w:t>School</w:t>
      </w:r>
      <w:proofErr w:type="gramEnd"/>
      <w:r>
        <w:t xml:space="preserve"> will carry out a proportionate investigation, which may include meeting the </w:t>
      </w:r>
      <w:proofErr w:type="gramStart"/>
      <w:r>
        <w:t>parent</w:t>
      </w:r>
      <w:proofErr w:type="gramEnd"/>
      <w:r>
        <w:t xml:space="preserve"> to clarify the complaint and the resolution sought. The </w:t>
      </w:r>
      <w:proofErr w:type="gramStart"/>
      <w:r>
        <w:t>School</w:t>
      </w:r>
      <w:proofErr w:type="gramEnd"/>
      <w:r>
        <w:t xml:space="preserve"> will normally complete the investigation and provide a written outcome within 15 school days.</w:t>
      </w:r>
    </w:p>
    <w:p w14:paraId="61E46D95" w14:textId="77777777" w:rsidR="00C960E5" w:rsidRDefault="00D028A3">
      <w:pPr>
        <w:pStyle w:val="ListBullet"/>
        <w:spacing w:after="40"/>
      </w:pPr>
      <w:r>
        <w:t xml:space="preserve">The written outcome will </w:t>
      </w:r>
      <w:proofErr w:type="spellStart"/>
      <w:r>
        <w:t>summarise</w:t>
      </w:r>
      <w:proofErr w:type="spellEnd"/>
      <w:r>
        <w:t xml:space="preserve"> the complaint, the steps taken to investigate, the decision with reasons, and any actions the </w:t>
      </w:r>
      <w:proofErr w:type="gramStart"/>
      <w:r>
        <w:t>School</w:t>
      </w:r>
      <w:proofErr w:type="gramEnd"/>
      <w:r>
        <w:t xml:space="preserve"> will take.</w:t>
      </w:r>
    </w:p>
    <w:p w14:paraId="134CE504" w14:textId="77777777" w:rsidR="00C960E5" w:rsidRDefault="00D028A3">
      <w:pPr>
        <w:pStyle w:val="ListBullet"/>
        <w:spacing w:after="40"/>
      </w:pPr>
      <w:r>
        <w:t>If the parent is not satisfied, they may write to the Clerk to request progression to Stage 3 within 10 school days of the Stage 2 outcome.</w:t>
      </w:r>
    </w:p>
    <w:p w14:paraId="07FA95E9" w14:textId="77777777" w:rsidR="00C960E5" w:rsidRDefault="00D028A3">
      <w:pPr>
        <w:pStyle w:val="Heading1"/>
      </w:pPr>
      <w:r>
        <w:t>6. Stage 3 – Independent Complaints Panel</w:t>
      </w:r>
    </w:p>
    <w:p w14:paraId="3355BBC0" w14:textId="77777777" w:rsidR="00C960E5" w:rsidRDefault="00D028A3">
      <w:pPr>
        <w:pStyle w:val="ListBullet"/>
        <w:spacing w:after="40"/>
      </w:pPr>
      <w:r>
        <w:t xml:space="preserve">A panel of at least three </w:t>
      </w:r>
      <w:proofErr w:type="gramStart"/>
      <w:r>
        <w:t>persons</w:t>
      </w:r>
      <w:proofErr w:type="gramEnd"/>
      <w:r>
        <w:t xml:space="preserve"> will be appointed by or on behalf of the Proprietor. None will have been directly involved in the matters detailed in the complaint; at least one will be independent of the management and running of the </w:t>
      </w:r>
      <w:proofErr w:type="gramStart"/>
      <w:r>
        <w:t>School</w:t>
      </w:r>
      <w:proofErr w:type="gramEnd"/>
      <w:r>
        <w:t>.</w:t>
      </w:r>
    </w:p>
    <w:p w14:paraId="7B107FC0" w14:textId="77777777" w:rsidR="00C960E5" w:rsidRDefault="00D028A3">
      <w:pPr>
        <w:pStyle w:val="ListBullet"/>
        <w:spacing w:after="40"/>
      </w:pPr>
      <w:r>
        <w:t>Parents are entitled to attend and to be accompanied (e.g. by a friend or supporter).</w:t>
      </w:r>
    </w:p>
    <w:p w14:paraId="4301E222" w14:textId="77777777" w:rsidR="00C960E5" w:rsidRDefault="00D028A3">
      <w:pPr>
        <w:pStyle w:val="ListBullet"/>
        <w:spacing w:after="40"/>
      </w:pPr>
      <w:r>
        <w:t>The Clerk will acknowledge the request within 3 school days and propose hearing dates; the hearing will be scheduled as soon as practicable and normally within 20 school days.</w:t>
      </w:r>
    </w:p>
    <w:p w14:paraId="3A4D1615" w14:textId="77777777" w:rsidR="00C960E5" w:rsidRDefault="00D028A3">
      <w:pPr>
        <w:pStyle w:val="ListBullet"/>
        <w:spacing w:after="40"/>
      </w:pPr>
      <w:r>
        <w:t>At least 5 school days before the hearing, the Clerk will circulate the agenda and the evidence bundle (parent’s submission; School response; key documents).</w:t>
      </w:r>
    </w:p>
    <w:p w14:paraId="3A54F467" w14:textId="77777777" w:rsidR="00C960E5" w:rsidRDefault="00D028A3">
      <w:pPr>
        <w:pStyle w:val="ListBullet"/>
        <w:spacing w:after="40"/>
      </w:pPr>
      <w:r>
        <w:t xml:space="preserve">The Panel Chair will conduct the hearing fairly and without undue formality. The usual order </w:t>
      </w:r>
      <w:proofErr w:type="gramStart"/>
      <w:r>
        <w:t>is:</w:t>
      </w:r>
      <w:proofErr w:type="gramEnd"/>
      <w:r>
        <w:t xml:space="preserve"> introductions; parent presentation and questions; School presentation and questions; panel questions; summing up; panel private deliberation.</w:t>
      </w:r>
    </w:p>
    <w:p w14:paraId="6830E5E9" w14:textId="77777777" w:rsidR="00C960E5" w:rsidRDefault="00D028A3">
      <w:pPr>
        <w:pStyle w:val="ListBullet"/>
        <w:spacing w:after="40"/>
      </w:pPr>
      <w:r>
        <w:lastRenderedPageBreak/>
        <w:t xml:space="preserve">The panel will consider the complaint on the balance of </w:t>
      </w:r>
      <w:proofErr w:type="gramStart"/>
      <w:r>
        <w:t>probabilities</w:t>
      </w:r>
      <w:proofErr w:type="gramEnd"/>
      <w:r>
        <w:t xml:space="preserve">. It may uphold the complaint in whole or </w:t>
      </w:r>
      <w:proofErr w:type="gramStart"/>
      <w:r>
        <w:t>part, or</w:t>
      </w:r>
      <w:proofErr w:type="gramEnd"/>
      <w:r>
        <w:t xml:space="preserve"> dismiss it. It will make findings and may recommend actions.</w:t>
      </w:r>
    </w:p>
    <w:p w14:paraId="36F11B53" w14:textId="77777777" w:rsidR="00C960E5" w:rsidRDefault="00D028A3">
      <w:pPr>
        <w:pStyle w:val="ListBullet"/>
        <w:spacing w:after="40"/>
      </w:pPr>
      <w:r>
        <w:t xml:space="preserve">Within 10 school days of the hearing, the Clerk will send the panel’s written findings and recommendations to: the parent; the Headteacher; and, where relevant, the person complained </w:t>
      </w:r>
      <w:proofErr w:type="gramStart"/>
      <w:r>
        <w:t>about</w:t>
      </w:r>
      <w:proofErr w:type="gramEnd"/>
      <w:r>
        <w:t>. A copy will be available for inspection on the school premises by the Proprietor and Headteacher.</w:t>
      </w:r>
    </w:p>
    <w:p w14:paraId="5AB20668" w14:textId="77777777" w:rsidR="00C960E5" w:rsidRDefault="00D028A3">
      <w:pPr>
        <w:pStyle w:val="Heading1"/>
      </w:pPr>
      <w:r>
        <w:t>7. Records, confidentiality and availability</w:t>
      </w:r>
    </w:p>
    <w:p w14:paraId="7AACBA04" w14:textId="77777777" w:rsidR="00C960E5" w:rsidRDefault="00D028A3">
      <w:pPr>
        <w:pStyle w:val="ListBullet"/>
        <w:spacing w:after="40"/>
      </w:pPr>
      <w:r>
        <w:t xml:space="preserve">The </w:t>
      </w:r>
      <w:proofErr w:type="gramStart"/>
      <w:r>
        <w:t>School</w:t>
      </w:r>
      <w:proofErr w:type="gramEnd"/>
      <w:r>
        <w:t xml:space="preserve"> will keep written records of formal complaints and panel hearings, including whether they were resolved following Stage 2 or proceeded to Stage 3, and any actions taken by the </w:t>
      </w:r>
      <w:proofErr w:type="gramStart"/>
      <w:r>
        <w:t>School</w:t>
      </w:r>
      <w:proofErr w:type="gramEnd"/>
      <w:r>
        <w:t xml:space="preserve"> as a result.</w:t>
      </w:r>
    </w:p>
    <w:p w14:paraId="4F691D6B" w14:textId="77777777" w:rsidR="00C960E5" w:rsidRDefault="00D028A3">
      <w:pPr>
        <w:pStyle w:val="ListBullet"/>
        <w:spacing w:after="40"/>
      </w:pPr>
      <w:r>
        <w:t>Correspondence, statements and records relating to individual complaints will be kept confidential except where disclosure is required by law or requested by a body conducting an inspection under sections 108 or 109 of the Education and Skills Act 2008 (e.g. Ofsted/ISI).</w:t>
      </w:r>
    </w:p>
    <w:p w14:paraId="0E9A765A" w14:textId="77777777" w:rsidR="00C960E5" w:rsidRDefault="00D028A3">
      <w:pPr>
        <w:pStyle w:val="ListBullet"/>
        <w:spacing w:after="40"/>
      </w:pPr>
      <w:r>
        <w:t xml:space="preserve">An </w:t>
      </w:r>
      <w:proofErr w:type="spellStart"/>
      <w:r>
        <w:t>anonymised</w:t>
      </w:r>
      <w:proofErr w:type="spellEnd"/>
      <w:r>
        <w:t xml:space="preserve"> log of the number of formal complaints registered during the preceding school year will be available to parents on request.</w:t>
      </w:r>
    </w:p>
    <w:p w14:paraId="56BB246C" w14:textId="77777777" w:rsidR="00C960E5" w:rsidRDefault="00D028A3">
      <w:pPr>
        <w:pStyle w:val="Heading1"/>
      </w:pPr>
      <w:r>
        <w:t xml:space="preserve">8. Reasonable adjustments, safeguarding and vexatious </w:t>
      </w:r>
      <w:proofErr w:type="spellStart"/>
      <w:r>
        <w:t>behaviour</w:t>
      </w:r>
      <w:proofErr w:type="spellEnd"/>
    </w:p>
    <w:p w14:paraId="6471393F" w14:textId="77777777" w:rsidR="00C960E5" w:rsidRDefault="00D028A3">
      <w:pPr>
        <w:pStyle w:val="ListBullet"/>
        <w:spacing w:after="40"/>
      </w:pPr>
      <w:r>
        <w:t xml:space="preserve">The </w:t>
      </w:r>
      <w:proofErr w:type="gramStart"/>
      <w:r>
        <w:t>School</w:t>
      </w:r>
      <w:proofErr w:type="gramEnd"/>
      <w:r>
        <w:t xml:space="preserve"> will make reasonable adjustments for accessibility (e.g. interpreters, alternative formats).</w:t>
      </w:r>
    </w:p>
    <w:p w14:paraId="66AE02F2" w14:textId="77777777" w:rsidR="00C960E5" w:rsidRDefault="00D028A3">
      <w:pPr>
        <w:pStyle w:val="ListBullet"/>
        <w:spacing w:after="40"/>
      </w:pPr>
      <w:r>
        <w:t>Safeguarding: concerns that indicate a child may be at risk of harm will be handled under the School’s Safeguarding Policy and reported to the Designated Safeguarding Lead and external agencies as appropriate.</w:t>
      </w:r>
    </w:p>
    <w:p w14:paraId="3CB3EEAF" w14:textId="77777777" w:rsidR="00C960E5" w:rsidRDefault="00D028A3">
      <w:pPr>
        <w:pStyle w:val="ListBullet"/>
        <w:spacing w:after="40"/>
      </w:pPr>
      <w:r>
        <w:t xml:space="preserve">Unreasonable or serial complaints: where a complainant behaves unreasonably (e.g. persistent, harassing or abusive contact), the </w:t>
      </w:r>
      <w:proofErr w:type="gramStart"/>
      <w:r>
        <w:t>School</w:t>
      </w:r>
      <w:proofErr w:type="gramEnd"/>
      <w:r>
        <w:t xml:space="preserve"> may implement a communications plan or cease correspondence, in line with our ‘Unreasonable </w:t>
      </w:r>
      <w:proofErr w:type="spellStart"/>
      <w:r>
        <w:t>Behaviour</w:t>
      </w:r>
      <w:proofErr w:type="spellEnd"/>
      <w:r>
        <w:t>’ guidance, while ensuring access to the panel stage remains available.</w:t>
      </w:r>
    </w:p>
    <w:p w14:paraId="5DD87136" w14:textId="77777777" w:rsidR="00C960E5" w:rsidRDefault="00D028A3">
      <w:pPr>
        <w:pStyle w:val="Heading1"/>
      </w:pPr>
      <w:r>
        <w:t>9. Early Years Foundation Stage (EYFS) requirements</w:t>
      </w:r>
    </w:p>
    <w:p w14:paraId="537C02F3" w14:textId="77777777" w:rsidR="00C960E5" w:rsidRDefault="00D028A3">
      <w:pPr>
        <w:pStyle w:val="ListBullet"/>
        <w:spacing w:after="40"/>
      </w:pPr>
      <w:r>
        <w:t xml:space="preserve">For complaints that relate to the </w:t>
      </w:r>
      <w:proofErr w:type="gramStart"/>
      <w:r>
        <w:t>School’s</w:t>
      </w:r>
      <w:proofErr w:type="gramEnd"/>
      <w:r>
        <w:t xml:space="preserve"> fulfilment of the EYFS requirements, the </w:t>
      </w:r>
      <w:proofErr w:type="gramStart"/>
      <w:r>
        <w:t>School</w:t>
      </w:r>
      <w:proofErr w:type="gramEnd"/>
      <w:r>
        <w:t xml:space="preserve"> will investigate and notify parents of the outcome of the investigation within 28 days of receipt.</w:t>
      </w:r>
    </w:p>
    <w:p w14:paraId="578A186A" w14:textId="77777777" w:rsidR="00C960E5" w:rsidRDefault="00D028A3">
      <w:pPr>
        <w:pStyle w:val="ListBullet"/>
        <w:spacing w:after="40"/>
      </w:pPr>
      <w:r>
        <w:t>Records of EYFS complaints will be kept for at least 3 years and made available to Ofsted on request.</w:t>
      </w:r>
    </w:p>
    <w:p w14:paraId="67D7892D" w14:textId="77777777" w:rsidR="00C960E5" w:rsidRDefault="00D028A3">
      <w:pPr>
        <w:pStyle w:val="ListBullet"/>
        <w:spacing w:after="40"/>
      </w:pPr>
      <w:r>
        <w:t>Parents will be provided with information about how to contact Ofsted regarding EYFS matters should they wish to do so.</w:t>
      </w:r>
    </w:p>
    <w:p w14:paraId="52B6680D" w14:textId="77777777" w:rsidR="00C960E5" w:rsidRDefault="00D028A3">
      <w:pPr>
        <w:pStyle w:val="Heading1"/>
      </w:pPr>
      <w:r>
        <w:lastRenderedPageBreak/>
        <w:t>10. Timescales and ‘school days’</w:t>
      </w:r>
    </w:p>
    <w:p w14:paraId="3AC2995C" w14:textId="77777777" w:rsidR="00C960E5" w:rsidRDefault="00D028A3">
      <w:pPr>
        <w:pStyle w:val="ListBullet"/>
        <w:spacing w:after="40"/>
      </w:pPr>
      <w:r>
        <w:t xml:space="preserve">All timescales in this policy refer to term‑time school days. Where a complaint is received near the end of term or during school holidays, timescales may be extended. The </w:t>
      </w:r>
      <w:proofErr w:type="gramStart"/>
      <w:r>
        <w:t>School</w:t>
      </w:r>
      <w:proofErr w:type="gramEnd"/>
      <w:r>
        <w:t xml:space="preserve"> will keep parents informed of revised timeframes.</w:t>
      </w:r>
    </w:p>
    <w:p w14:paraId="568221B5" w14:textId="77777777" w:rsidR="00C960E5" w:rsidRDefault="00D028A3">
      <w:pPr>
        <w:pStyle w:val="Heading1"/>
      </w:pPr>
      <w:r>
        <w:t>11. Roles and responsibilities</w:t>
      </w:r>
    </w:p>
    <w:p w14:paraId="5953FAF0" w14:textId="77777777" w:rsidR="00C960E5" w:rsidRDefault="00D028A3">
      <w:pPr>
        <w:pStyle w:val="ListBullet"/>
        <w:spacing w:after="40"/>
      </w:pPr>
      <w:r>
        <w:t>Complainant (parent): raises concerns in good faith; cooperates with the process; treats staff with respect.</w:t>
      </w:r>
    </w:p>
    <w:p w14:paraId="05CEAF65" w14:textId="77777777" w:rsidR="00C960E5" w:rsidRDefault="00D028A3">
      <w:pPr>
        <w:pStyle w:val="ListBullet"/>
        <w:spacing w:after="40"/>
      </w:pPr>
      <w:r>
        <w:t xml:space="preserve">Investigating </w:t>
      </w:r>
      <w:proofErr w:type="gramStart"/>
      <w:r>
        <w:t>officer:</w:t>
      </w:r>
      <w:proofErr w:type="gramEnd"/>
      <w:r>
        <w:t xml:space="preserve"> conducts a fair, proportionate enquiry; seeks resolution; maintains records.</w:t>
      </w:r>
    </w:p>
    <w:p w14:paraId="652B5FE0" w14:textId="77777777" w:rsidR="00C960E5" w:rsidRDefault="00D028A3">
      <w:pPr>
        <w:pStyle w:val="ListBullet"/>
        <w:spacing w:after="40"/>
      </w:pPr>
      <w:r>
        <w:t xml:space="preserve">Clerk to the </w:t>
      </w:r>
      <w:proofErr w:type="gramStart"/>
      <w:r>
        <w:t>Panel:</w:t>
      </w:r>
      <w:proofErr w:type="gramEnd"/>
      <w:r>
        <w:t xml:space="preserve"> administers Stage 3; communicates with parties; collates and circulates papers; takes minutes; issues the decision letter.</w:t>
      </w:r>
    </w:p>
    <w:p w14:paraId="4C09F854" w14:textId="77777777" w:rsidR="00C960E5" w:rsidRDefault="00D028A3">
      <w:pPr>
        <w:pStyle w:val="ListBullet"/>
        <w:spacing w:after="40"/>
      </w:pPr>
      <w:r>
        <w:t>Panel members: act impartially; consider evidence; decide on findings and recommendations.</w:t>
      </w:r>
    </w:p>
    <w:p w14:paraId="35889432" w14:textId="77777777" w:rsidR="00C960E5" w:rsidRDefault="00D028A3">
      <w:pPr>
        <w:pStyle w:val="Heading1"/>
      </w:pPr>
      <w:r>
        <w:t>12. Associated policies</w:t>
      </w:r>
    </w:p>
    <w:p w14:paraId="53AA084C" w14:textId="77777777" w:rsidR="00C960E5" w:rsidRDefault="00D028A3">
      <w:pPr>
        <w:pStyle w:val="ListBullet"/>
        <w:spacing w:after="40"/>
      </w:pPr>
      <w:r>
        <w:t>Safeguarding and Child Protection Policy</w:t>
      </w:r>
    </w:p>
    <w:p w14:paraId="3D0D260C" w14:textId="77777777" w:rsidR="00C960E5" w:rsidRDefault="00D028A3">
      <w:pPr>
        <w:pStyle w:val="ListBullet"/>
        <w:spacing w:after="40"/>
      </w:pPr>
      <w:proofErr w:type="spellStart"/>
      <w:r>
        <w:t>Behaviour</w:t>
      </w:r>
      <w:proofErr w:type="spellEnd"/>
      <w:r>
        <w:t xml:space="preserve"> Policy</w:t>
      </w:r>
    </w:p>
    <w:p w14:paraId="3C797D6A" w14:textId="77777777" w:rsidR="00C960E5" w:rsidRDefault="00D028A3">
      <w:pPr>
        <w:pStyle w:val="ListBullet"/>
        <w:spacing w:after="40"/>
      </w:pPr>
      <w:r>
        <w:t>Whistleblowing Policy</w:t>
      </w:r>
    </w:p>
    <w:p w14:paraId="1BCD2A4B" w14:textId="77777777" w:rsidR="00C960E5" w:rsidRDefault="00D028A3">
      <w:pPr>
        <w:pStyle w:val="ListBullet"/>
        <w:spacing w:after="40"/>
      </w:pPr>
      <w:r>
        <w:t>SEND Policy</w:t>
      </w:r>
    </w:p>
    <w:p w14:paraId="28DC5078" w14:textId="77777777" w:rsidR="00C960E5" w:rsidRDefault="00D028A3">
      <w:pPr>
        <w:pStyle w:val="ListBullet"/>
        <w:spacing w:after="40"/>
      </w:pPr>
      <w:r>
        <w:t xml:space="preserve">Unreasonable </w:t>
      </w:r>
      <w:proofErr w:type="spellStart"/>
      <w:r>
        <w:t>Behaviour</w:t>
      </w:r>
      <w:proofErr w:type="spellEnd"/>
      <w:r>
        <w:t>/Managing Serial Complaints Guidance</w:t>
      </w:r>
    </w:p>
    <w:p w14:paraId="2707E18A" w14:textId="77777777" w:rsidR="00C960E5" w:rsidRDefault="00D028A3">
      <w:pPr>
        <w:pStyle w:val="Heading1"/>
      </w:pPr>
      <w:r>
        <w:t>13. Contacts &amp; Submissions</w:t>
      </w:r>
    </w:p>
    <w:p w14:paraId="74642BB8" w14:textId="470872C5" w:rsidR="00C960E5" w:rsidRDefault="5E473912">
      <w:pPr>
        <w:pStyle w:val="ListBullet"/>
        <w:spacing w:after="40"/>
      </w:pPr>
      <w:r>
        <w:t xml:space="preserve">Headteacher: </w:t>
      </w:r>
      <w:r w:rsidR="67AC5850">
        <w:t>Ifsheen Akhtar</w:t>
      </w:r>
      <w:r>
        <w:t xml:space="preserve"> </w:t>
      </w:r>
      <w:r w:rsidR="67AC5850">
        <w:t>Email: Headteacher@</w:t>
      </w:r>
      <w:r w:rsidR="00744645">
        <w:t>Nuqtah</w:t>
      </w:r>
      <w:r w:rsidR="3561B817">
        <w:t>primaryschool</w:t>
      </w:r>
      <w:r w:rsidR="67AC5850">
        <w:t>.org.uk</w:t>
      </w:r>
    </w:p>
    <w:p w14:paraId="41EE21B6" w14:textId="51FF1C9E" w:rsidR="00C960E5" w:rsidRDefault="5E473912">
      <w:pPr>
        <w:pStyle w:val="ListBullet"/>
        <w:spacing w:after="40"/>
      </w:pPr>
      <w:r>
        <w:t xml:space="preserve">Clerk to the Governors/Proprietor: Email: </w:t>
      </w:r>
      <w:r w:rsidR="67AC5850">
        <w:t>info@</w:t>
      </w:r>
      <w:r w:rsidR="00744645">
        <w:t>Nuqtah</w:t>
      </w:r>
      <w:r w:rsidR="4A4876D7">
        <w:t>primaryschool</w:t>
      </w:r>
      <w:r w:rsidR="67AC5850">
        <w:t>.org.uk</w:t>
      </w:r>
    </w:p>
    <w:p w14:paraId="6790244C" w14:textId="76AE7B0E" w:rsidR="00C960E5" w:rsidRDefault="00D028A3">
      <w:pPr>
        <w:pStyle w:val="ListBullet"/>
        <w:spacing w:after="40"/>
      </w:pPr>
      <w:r>
        <w:t xml:space="preserve">Chair of Governors/Proprietor (for complaints about the </w:t>
      </w:r>
      <w:proofErr w:type="gramStart"/>
      <w:r>
        <w:t>Headteacher)  Contact</w:t>
      </w:r>
      <w:proofErr w:type="gramEnd"/>
      <w:r>
        <w:t xml:space="preserve"> via Clerk</w:t>
      </w:r>
    </w:p>
    <w:p w14:paraId="1FCD6801" w14:textId="77777777" w:rsidR="00C960E5" w:rsidRDefault="00D028A3">
      <w:pPr>
        <w:pStyle w:val="ListBullet"/>
        <w:spacing w:after="40"/>
      </w:pPr>
      <w:r>
        <w:t xml:space="preserve">Ofsted/ISI contact details (as applicable to the </w:t>
      </w:r>
      <w:proofErr w:type="gramStart"/>
      <w:r>
        <w:t>School’s</w:t>
      </w:r>
      <w:proofErr w:type="gramEnd"/>
      <w:r>
        <w:t xml:space="preserve"> inspectorate): see school website </w:t>
      </w:r>
      <w:proofErr w:type="gramStart"/>
      <w:r>
        <w:t>or</w:t>
      </w:r>
      <w:proofErr w:type="gramEnd"/>
      <w:r>
        <w:t xml:space="preserve"> request from the office.</w:t>
      </w:r>
    </w:p>
    <w:p w14:paraId="7B7AF456" w14:textId="77777777" w:rsidR="00EB0E3D" w:rsidRDefault="00EB0E3D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0ED9C9B4" w14:textId="77777777" w:rsidR="00EB0E3D" w:rsidRDefault="00EB0E3D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43E855D0" w14:textId="77777777" w:rsidR="00EB0E3D" w:rsidRDefault="00EB0E3D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480657F1" w14:textId="77777777" w:rsidR="00EB0E3D" w:rsidRDefault="00EB0E3D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02C2414A" w14:textId="77777777" w:rsidR="00744645" w:rsidRDefault="00744645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0EDB1EFD" w14:textId="77777777" w:rsidR="00744645" w:rsidRDefault="00744645" w:rsidP="00EB0E3D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063C7816" w14:textId="60536283" w:rsidR="61DD6990" w:rsidRDefault="61DD6990" w:rsidP="61DD6990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282D4FE1" w14:textId="1DFA8E66" w:rsidR="61DD6990" w:rsidRDefault="61DD6990" w:rsidP="61DD6990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261BB386" w14:textId="77777777" w:rsidR="00C960E5" w:rsidRDefault="00D028A3">
      <w:pPr>
        <w:pStyle w:val="Heading1"/>
      </w:pPr>
      <w:r>
        <w:lastRenderedPageBreak/>
        <w:t>Appendix A – Complaint Form (Stage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960E5" w14:paraId="2DB64CA7" w14:textId="77777777">
        <w:tc>
          <w:tcPr>
            <w:tcW w:w="4320" w:type="dxa"/>
          </w:tcPr>
          <w:p w14:paraId="0FC2E842" w14:textId="77777777" w:rsidR="00C960E5" w:rsidRDefault="00D028A3">
            <w:r>
              <w:t>Your name</w:t>
            </w:r>
          </w:p>
        </w:tc>
        <w:tc>
          <w:tcPr>
            <w:tcW w:w="4320" w:type="dxa"/>
          </w:tcPr>
          <w:p w14:paraId="08790620" w14:textId="77777777" w:rsidR="00C960E5" w:rsidRDefault="00C960E5"/>
          <w:p w14:paraId="01AE67A9" w14:textId="77777777" w:rsidR="00EB0E3D" w:rsidRDefault="00EB0E3D"/>
          <w:p w14:paraId="4354F7E1" w14:textId="77777777" w:rsidR="00EB0E3D" w:rsidRDefault="00EB0E3D"/>
        </w:tc>
      </w:tr>
      <w:tr w:rsidR="00C960E5" w14:paraId="37D8AAB2" w14:textId="77777777">
        <w:tc>
          <w:tcPr>
            <w:tcW w:w="4320" w:type="dxa"/>
          </w:tcPr>
          <w:p w14:paraId="45A77B4F" w14:textId="77777777" w:rsidR="00C960E5" w:rsidRDefault="00D028A3">
            <w:r>
              <w:t>Pupil’s name and class</w:t>
            </w:r>
          </w:p>
        </w:tc>
        <w:tc>
          <w:tcPr>
            <w:tcW w:w="4320" w:type="dxa"/>
          </w:tcPr>
          <w:p w14:paraId="64D5CCA5" w14:textId="77777777" w:rsidR="00C960E5" w:rsidRDefault="00C960E5"/>
          <w:p w14:paraId="4669774E" w14:textId="77777777" w:rsidR="00EB0E3D" w:rsidRDefault="00EB0E3D"/>
          <w:p w14:paraId="45325AF8" w14:textId="77777777" w:rsidR="00EB0E3D" w:rsidRDefault="00EB0E3D"/>
        </w:tc>
      </w:tr>
      <w:tr w:rsidR="00C960E5" w14:paraId="74D182DA" w14:textId="77777777">
        <w:tc>
          <w:tcPr>
            <w:tcW w:w="4320" w:type="dxa"/>
          </w:tcPr>
          <w:p w14:paraId="0E1936E6" w14:textId="77777777" w:rsidR="00C960E5" w:rsidRDefault="00D028A3">
            <w:r>
              <w:t xml:space="preserve">Your relationship </w:t>
            </w:r>
            <w:proofErr w:type="gramStart"/>
            <w:r>
              <w:t>to</w:t>
            </w:r>
            <w:proofErr w:type="gramEnd"/>
            <w:r>
              <w:t xml:space="preserve"> the pupil</w:t>
            </w:r>
          </w:p>
        </w:tc>
        <w:tc>
          <w:tcPr>
            <w:tcW w:w="4320" w:type="dxa"/>
          </w:tcPr>
          <w:p w14:paraId="05EB47C8" w14:textId="77777777" w:rsidR="00C960E5" w:rsidRDefault="00C960E5"/>
          <w:p w14:paraId="21FDDC7D" w14:textId="77777777" w:rsidR="00EB0E3D" w:rsidRDefault="00EB0E3D"/>
          <w:p w14:paraId="785BCCEC" w14:textId="77777777" w:rsidR="00EB0E3D" w:rsidRDefault="00EB0E3D"/>
        </w:tc>
      </w:tr>
      <w:tr w:rsidR="00C960E5" w14:paraId="6B611911" w14:textId="77777777">
        <w:tc>
          <w:tcPr>
            <w:tcW w:w="4320" w:type="dxa"/>
          </w:tcPr>
          <w:p w14:paraId="2495CE9F" w14:textId="77777777" w:rsidR="00C960E5" w:rsidRDefault="00D028A3">
            <w:r>
              <w:t>Preferred contact details</w:t>
            </w:r>
          </w:p>
        </w:tc>
        <w:tc>
          <w:tcPr>
            <w:tcW w:w="4320" w:type="dxa"/>
          </w:tcPr>
          <w:p w14:paraId="17F02122" w14:textId="77777777" w:rsidR="00C960E5" w:rsidRDefault="00C960E5"/>
          <w:p w14:paraId="49726A41" w14:textId="77777777" w:rsidR="00EB0E3D" w:rsidRDefault="00EB0E3D"/>
          <w:p w14:paraId="2224731E" w14:textId="77777777" w:rsidR="00EB0E3D" w:rsidRDefault="00EB0E3D"/>
        </w:tc>
      </w:tr>
      <w:tr w:rsidR="00C960E5" w14:paraId="2F20801E" w14:textId="77777777">
        <w:tc>
          <w:tcPr>
            <w:tcW w:w="4320" w:type="dxa"/>
          </w:tcPr>
          <w:p w14:paraId="070B92D9" w14:textId="77777777" w:rsidR="00C960E5" w:rsidRDefault="00D028A3">
            <w:r>
              <w:t>Summary of complaint (with dates)</w:t>
            </w:r>
          </w:p>
        </w:tc>
        <w:tc>
          <w:tcPr>
            <w:tcW w:w="4320" w:type="dxa"/>
          </w:tcPr>
          <w:p w14:paraId="636347E8" w14:textId="77777777" w:rsidR="00C960E5" w:rsidRDefault="00C960E5"/>
          <w:p w14:paraId="5B57AE9D" w14:textId="77777777" w:rsidR="00EB0E3D" w:rsidRDefault="00EB0E3D"/>
          <w:p w14:paraId="2285A5F7" w14:textId="77777777" w:rsidR="00EB0E3D" w:rsidRDefault="00EB0E3D"/>
          <w:p w14:paraId="3E754645" w14:textId="77777777" w:rsidR="00EB0E3D" w:rsidRDefault="00EB0E3D"/>
          <w:p w14:paraId="3D35F3AD" w14:textId="77777777" w:rsidR="00EB0E3D" w:rsidRDefault="00EB0E3D"/>
          <w:p w14:paraId="6B0AA31B" w14:textId="77777777" w:rsidR="00EB0E3D" w:rsidRDefault="00EB0E3D"/>
          <w:p w14:paraId="79532BDF" w14:textId="77777777" w:rsidR="00EB0E3D" w:rsidRDefault="00EB0E3D"/>
          <w:p w14:paraId="19F1738F" w14:textId="77777777" w:rsidR="00EB0E3D" w:rsidRDefault="00EB0E3D"/>
          <w:p w14:paraId="620D3113" w14:textId="77777777" w:rsidR="00EB0E3D" w:rsidRDefault="00EB0E3D"/>
        </w:tc>
      </w:tr>
      <w:tr w:rsidR="00C960E5" w14:paraId="67B3BB53" w14:textId="77777777">
        <w:tc>
          <w:tcPr>
            <w:tcW w:w="4320" w:type="dxa"/>
          </w:tcPr>
          <w:p w14:paraId="0CDFCD0D" w14:textId="77777777" w:rsidR="00C960E5" w:rsidRDefault="00D028A3">
            <w:r>
              <w:t>What outcome are you seeking?</w:t>
            </w:r>
          </w:p>
        </w:tc>
        <w:tc>
          <w:tcPr>
            <w:tcW w:w="4320" w:type="dxa"/>
          </w:tcPr>
          <w:p w14:paraId="771F7588" w14:textId="77777777" w:rsidR="00C960E5" w:rsidRDefault="00C960E5"/>
          <w:p w14:paraId="74824614" w14:textId="77777777" w:rsidR="00EB0E3D" w:rsidRDefault="00EB0E3D"/>
          <w:p w14:paraId="2E193073" w14:textId="77777777" w:rsidR="00EB0E3D" w:rsidRDefault="00EB0E3D"/>
          <w:p w14:paraId="022B20D5" w14:textId="77777777" w:rsidR="00EB0E3D" w:rsidRDefault="00EB0E3D"/>
          <w:p w14:paraId="015F2B40" w14:textId="77777777" w:rsidR="00EB0E3D" w:rsidRDefault="00EB0E3D"/>
          <w:p w14:paraId="2BC9A0D9" w14:textId="77777777" w:rsidR="00EB0E3D" w:rsidRDefault="00EB0E3D"/>
          <w:p w14:paraId="539137D2" w14:textId="77777777" w:rsidR="00EB0E3D" w:rsidRDefault="00EB0E3D"/>
          <w:p w14:paraId="00CA3083" w14:textId="77777777" w:rsidR="00EB0E3D" w:rsidRDefault="00EB0E3D"/>
        </w:tc>
      </w:tr>
      <w:tr w:rsidR="00C960E5" w14:paraId="5C9F6EC9" w14:textId="77777777">
        <w:tc>
          <w:tcPr>
            <w:tcW w:w="4320" w:type="dxa"/>
          </w:tcPr>
          <w:p w14:paraId="75263FA9" w14:textId="77777777" w:rsidR="00C960E5" w:rsidRDefault="00D028A3">
            <w:r>
              <w:t>Have you already spoken to a member of staff? If so, who and when?</w:t>
            </w:r>
          </w:p>
        </w:tc>
        <w:tc>
          <w:tcPr>
            <w:tcW w:w="4320" w:type="dxa"/>
          </w:tcPr>
          <w:p w14:paraId="68644EC3" w14:textId="77777777" w:rsidR="00C960E5" w:rsidRDefault="00C960E5"/>
          <w:p w14:paraId="745AA8DB" w14:textId="77777777" w:rsidR="00EB0E3D" w:rsidRDefault="00EB0E3D"/>
          <w:p w14:paraId="661401BA" w14:textId="77777777" w:rsidR="00EB0E3D" w:rsidRDefault="00EB0E3D"/>
          <w:p w14:paraId="3B45D68A" w14:textId="77777777" w:rsidR="00EB0E3D" w:rsidRDefault="00EB0E3D"/>
          <w:p w14:paraId="312F3643" w14:textId="77777777" w:rsidR="00EB0E3D" w:rsidRDefault="00EB0E3D"/>
          <w:p w14:paraId="30DA88C5" w14:textId="77777777" w:rsidR="00EB0E3D" w:rsidRDefault="00EB0E3D"/>
          <w:p w14:paraId="6CE29A99" w14:textId="77777777" w:rsidR="00EB0E3D" w:rsidRDefault="00EB0E3D"/>
          <w:p w14:paraId="576519E6" w14:textId="77777777" w:rsidR="00EB0E3D" w:rsidRDefault="00EB0E3D"/>
        </w:tc>
      </w:tr>
      <w:tr w:rsidR="00C960E5" w14:paraId="3FEB3A5C" w14:textId="77777777">
        <w:tc>
          <w:tcPr>
            <w:tcW w:w="4320" w:type="dxa"/>
          </w:tcPr>
          <w:p w14:paraId="6B69F3E0" w14:textId="77777777" w:rsidR="00C960E5" w:rsidRDefault="00D028A3">
            <w:r>
              <w:t>Are there any reasonable adjustments you require to access this process?</w:t>
            </w:r>
          </w:p>
        </w:tc>
        <w:tc>
          <w:tcPr>
            <w:tcW w:w="4320" w:type="dxa"/>
          </w:tcPr>
          <w:p w14:paraId="7A9BA401" w14:textId="77777777" w:rsidR="00C960E5" w:rsidRDefault="00C960E5"/>
          <w:p w14:paraId="69904D1C" w14:textId="77777777" w:rsidR="00EB0E3D" w:rsidRDefault="00EB0E3D"/>
          <w:p w14:paraId="58FD954D" w14:textId="77777777" w:rsidR="00EB0E3D" w:rsidRDefault="00EB0E3D"/>
          <w:p w14:paraId="52FA4F8D" w14:textId="77777777" w:rsidR="00EB0E3D" w:rsidRDefault="00EB0E3D"/>
          <w:p w14:paraId="68EB664C" w14:textId="77777777" w:rsidR="00EB0E3D" w:rsidRDefault="00EB0E3D"/>
          <w:p w14:paraId="53A20F5A" w14:textId="77777777" w:rsidR="00EB0E3D" w:rsidRDefault="00EB0E3D"/>
          <w:p w14:paraId="5BBC0A78" w14:textId="77777777" w:rsidR="00EB0E3D" w:rsidRDefault="00EB0E3D"/>
          <w:p w14:paraId="5ABDD6ED" w14:textId="77777777" w:rsidR="00EB0E3D" w:rsidRDefault="00EB0E3D"/>
        </w:tc>
      </w:tr>
      <w:tr w:rsidR="00C960E5" w14:paraId="456F799C" w14:textId="77777777">
        <w:tc>
          <w:tcPr>
            <w:tcW w:w="4320" w:type="dxa"/>
          </w:tcPr>
          <w:p w14:paraId="3E2AA35A" w14:textId="77777777" w:rsidR="00C960E5" w:rsidRDefault="00D028A3">
            <w:r>
              <w:t>Signature and date</w:t>
            </w:r>
          </w:p>
        </w:tc>
        <w:tc>
          <w:tcPr>
            <w:tcW w:w="4320" w:type="dxa"/>
          </w:tcPr>
          <w:p w14:paraId="58D5106B" w14:textId="77777777" w:rsidR="00C960E5" w:rsidRDefault="00C960E5"/>
          <w:p w14:paraId="04C99BED" w14:textId="77777777" w:rsidR="00EB0E3D" w:rsidRDefault="00EB0E3D"/>
        </w:tc>
      </w:tr>
    </w:tbl>
    <w:p w14:paraId="60993D72" w14:textId="77777777" w:rsidR="00C960E5" w:rsidRDefault="00D028A3">
      <w:pPr>
        <w:pStyle w:val="Heading1"/>
      </w:pPr>
      <w:r>
        <w:lastRenderedPageBreak/>
        <w:t>Appendix B – Request for Independent Panel (Stage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C960E5" w14:paraId="18B4C6F3" w14:textId="77777777">
        <w:tc>
          <w:tcPr>
            <w:tcW w:w="4320" w:type="dxa"/>
          </w:tcPr>
          <w:p w14:paraId="71D72E34" w14:textId="77777777" w:rsidR="00C960E5" w:rsidRDefault="00D028A3">
            <w:r>
              <w:t>Your name</w:t>
            </w:r>
          </w:p>
        </w:tc>
        <w:tc>
          <w:tcPr>
            <w:tcW w:w="4320" w:type="dxa"/>
          </w:tcPr>
          <w:p w14:paraId="0735E836" w14:textId="77777777" w:rsidR="00C960E5" w:rsidRDefault="00C960E5"/>
          <w:p w14:paraId="15023567" w14:textId="77777777" w:rsidR="00EB0E3D" w:rsidRDefault="00EB0E3D"/>
          <w:p w14:paraId="67148164" w14:textId="77777777" w:rsidR="00EB0E3D" w:rsidRDefault="00EB0E3D"/>
        </w:tc>
      </w:tr>
      <w:tr w:rsidR="00C960E5" w14:paraId="14D208F9" w14:textId="77777777">
        <w:tc>
          <w:tcPr>
            <w:tcW w:w="4320" w:type="dxa"/>
          </w:tcPr>
          <w:p w14:paraId="6A412826" w14:textId="77777777" w:rsidR="00C960E5" w:rsidRDefault="00D028A3">
            <w:r>
              <w:t>Pupil’s name and class</w:t>
            </w:r>
          </w:p>
        </w:tc>
        <w:tc>
          <w:tcPr>
            <w:tcW w:w="4320" w:type="dxa"/>
          </w:tcPr>
          <w:p w14:paraId="4E24A4C8" w14:textId="77777777" w:rsidR="00C960E5" w:rsidRDefault="00C960E5"/>
          <w:p w14:paraId="1B732820" w14:textId="77777777" w:rsidR="00EB0E3D" w:rsidRDefault="00EB0E3D"/>
          <w:p w14:paraId="60AE2BC5" w14:textId="77777777" w:rsidR="00EB0E3D" w:rsidRDefault="00EB0E3D"/>
        </w:tc>
      </w:tr>
      <w:tr w:rsidR="00C960E5" w14:paraId="2DC8A039" w14:textId="77777777">
        <w:tc>
          <w:tcPr>
            <w:tcW w:w="4320" w:type="dxa"/>
          </w:tcPr>
          <w:p w14:paraId="58AEFB38" w14:textId="77777777" w:rsidR="00C960E5" w:rsidRDefault="00D028A3">
            <w:r>
              <w:t>Date of Stage 2 outcome letter</w:t>
            </w:r>
          </w:p>
        </w:tc>
        <w:tc>
          <w:tcPr>
            <w:tcW w:w="4320" w:type="dxa"/>
          </w:tcPr>
          <w:p w14:paraId="771515A0" w14:textId="77777777" w:rsidR="00C960E5" w:rsidRDefault="00C960E5"/>
          <w:p w14:paraId="2FE674F0" w14:textId="77777777" w:rsidR="00EB0E3D" w:rsidRDefault="00EB0E3D"/>
          <w:p w14:paraId="0203D1A8" w14:textId="77777777" w:rsidR="00EB0E3D" w:rsidRDefault="00EB0E3D"/>
          <w:p w14:paraId="4BE8671D" w14:textId="77777777" w:rsidR="00EB0E3D" w:rsidRDefault="00EB0E3D"/>
        </w:tc>
      </w:tr>
      <w:tr w:rsidR="00C960E5" w14:paraId="297F362F" w14:textId="77777777">
        <w:tc>
          <w:tcPr>
            <w:tcW w:w="4320" w:type="dxa"/>
          </w:tcPr>
          <w:p w14:paraId="04B778A3" w14:textId="77777777" w:rsidR="00C960E5" w:rsidRDefault="00D028A3">
            <w:r>
              <w:t>Grounds for requesting a panel hearing</w:t>
            </w:r>
          </w:p>
        </w:tc>
        <w:tc>
          <w:tcPr>
            <w:tcW w:w="4320" w:type="dxa"/>
          </w:tcPr>
          <w:p w14:paraId="6BC24DA8" w14:textId="77777777" w:rsidR="00C960E5" w:rsidRDefault="00C960E5"/>
          <w:p w14:paraId="243A7B46" w14:textId="77777777" w:rsidR="00EB0E3D" w:rsidRDefault="00EB0E3D"/>
          <w:p w14:paraId="48642E38" w14:textId="77777777" w:rsidR="00EB0E3D" w:rsidRDefault="00EB0E3D"/>
          <w:p w14:paraId="380ABBD5" w14:textId="77777777" w:rsidR="00EB0E3D" w:rsidRDefault="00EB0E3D"/>
          <w:p w14:paraId="1088A03A" w14:textId="77777777" w:rsidR="00EB0E3D" w:rsidRDefault="00EB0E3D"/>
          <w:p w14:paraId="0D9BB519" w14:textId="77777777" w:rsidR="00EB0E3D" w:rsidRDefault="00EB0E3D"/>
        </w:tc>
      </w:tr>
      <w:tr w:rsidR="00C960E5" w14:paraId="2C3CEC7E" w14:textId="77777777">
        <w:tc>
          <w:tcPr>
            <w:tcW w:w="4320" w:type="dxa"/>
          </w:tcPr>
          <w:p w14:paraId="104E6219" w14:textId="77777777" w:rsidR="00C960E5" w:rsidRDefault="00D028A3">
            <w:r>
              <w:t>Any reasonable adjustments required</w:t>
            </w:r>
          </w:p>
        </w:tc>
        <w:tc>
          <w:tcPr>
            <w:tcW w:w="4320" w:type="dxa"/>
          </w:tcPr>
          <w:p w14:paraId="58F976F6" w14:textId="77777777" w:rsidR="00C960E5" w:rsidRDefault="00C960E5"/>
          <w:p w14:paraId="6F836156" w14:textId="77777777" w:rsidR="00EB0E3D" w:rsidRDefault="00EB0E3D"/>
          <w:p w14:paraId="36159182" w14:textId="77777777" w:rsidR="00EB0E3D" w:rsidRDefault="00EB0E3D"/>
          <w:p w14:paraId="530C477F" w14:textId="77777777" w:rsidR="00EB0E3D" w:rsidRDefault="00EB0E3D"/>
          <w:p w14:paraId="6F2A8544" w14:textId="77777777" w:rsidR="00EB0E3D" w:rsidRDefault="00EB0E3D"/>
          <w:p w14:paraId="2A161553" w14:textId="77777777" w:rsidR="00EB0E3D" w:rsidRDefault="00EB0E3D"/>
        </w:tc>
      </w:tr>
      <w:tr w:rsidR="00C960E5" w14:paraId="2444869E" w14:textId="77777777">
        <w:tc>
          <w:tcPr>
            <w:tcW w:w="4320" w:type="dxa"/>
          </w:tcPr>
          <w:p w14:paraId="3849615C" w14:textId="77777777" w:rsidR="00C960E5" w:rsidRDefault="00D028A3">
            <w:r>
              <w:t>Representative/companion name (if any)</w:t>
            </w:r>
          </w:p>
        </w:tc>
        <w:tc>
          <w:tcPr>
            <w:tcW w:w="4320" w:type="dxa"/>
          </w:tcPr>
          <w:p w14:paraId="49330B57" w14:textId="77777777" w:rsidR="00C960E5" w:rsidRDefault="00C960E5"/>
          <w:p w14:paraId="2A8388E7" w14:textId="77777777" w:rsidR="00EB0E3D" w:rsidRDefault="00EB0E3D"/>
          <w:p w14:paraId="7B2D4DBE" w14:textId="77777777" w:rsidR="00EB0E3D" w:rsidRDefault="00EB0E3D"/>
          <w:p w14:paraId="39763033" w14:textId="77777777" w:rsidR="00EB0E3D" w:rsidRDefault="00EB0E3D"/>
          <w:p w14:paraId="7228DA1D" w14:textId="77777777" w:rsidR="00EB0E3D" w:rsidRDefault="00EB0E3D"/>
        </w:tc>
      </w:tr>
      <w:tr w:rsidR="00C960E5" w14:paraId="18495E4B" w14:textId="77777777">
        <w:tc>
          <w:tcPr>
            <w:tcW w:w="4320" w:type="dxa"/>
          </w:tcPr>
          <w:p w14:paraId="73ED2D71" w14:textId="77777777" w:rsidR="00C960E5" w:rsidRDefault="00D028A3">
            <w:r>
              <w:t>Signature and date</w:t>
            </w:r>
          </w:p>
        </w:tc>
        <w:tc>
          <w:tcPr>
            <w:tcW w:w="4320" w:type="dxa"/>
          </w:tcPr>
          <w:p w14:paraId="29A21329" w14:textId="77777777" w:rsidR="00C960E5" w:rsidRDefault="00C960E5"/>
          <w:p w14:paraId="4664A1FB" w14:textId="77777777" w:rsidR="00EB0E3D" w:rsidRDefault="00EB0E3D"/>
          <w:p w14:paraId="6CF54448" w14:textId="77777777" w:rsidR="00EB0E3D" w:rsidRDefault="00EB0E3D"/>
        </w:tc>
      </w:tr>
    </w:tbl>
    <w:p w14:paraId="51B31885" w14:textId="77777777" w:rsidR="00C960E5" w:rsidRDefault="00D028A3">
      <w:pPr>
        <w:pStyle w:val="Heading1"/>
      </w:pPr>
      <w:r>
        <w:t>Appendix C – Panel Procedure (summary)</w:t>
      </w:r>
    </w:p>
    <w:p w14:paraId="5EC085C6" w14:textId="77777777" w:rsidR="00C960E5" w:rsidRDefault="00D028A3">
      <w:pPr>
        <w:pStyle w:val="ListBullet"/>
        <w:spacing w:after="40"/>
      </w:pPr>
      <w:r>
        <w:t xml:space="preserve">The Clerk proposes a panel membership and hearing date(s); ensures at least one panel member is independent of the management and running of the </w:t>
      </w:r>
      <w:proofErr w:type="gramStart"/>
      <w:r>
        <w:t>School</w:t>
      </w:r>
      <w:proofErr w:type="gramEnd"/>
      <w:r>
        <w:t>.</w:t>
      </w:r>
    </w:p>
    <w:p w14:paraId="1AD8E682" w14:textId="77777777" w:rsidR="00C960E5" w:rsidRDefault="00D028A3">
      <w:pPr>
        <w:pStyle w:val="ListBullet"/>
        <w:spacing w:after="40"/>
      </w:pPr>
      <w:r>
        <w:t>At least 5 school days before: circulate agenda and bundle; confirm who will attend; share any witness lists.</w:t>
      </w:r>
    </w:p>
    <w:p w14:paraId="0E0FBA15" w14:textId="77777777" w:rsidR="00C960E5" w:rsidRDefault="00D028A3">
      <w:pPr>
        <w:pStyle w:val="ListBullet"/>
        <w:spacing w:after="40"/>
      </w:pPr>
      <w:r>
        <w:t>During the hearing: both parties present their case and may be asked questions; the Chair ensures proceedings are fair, accessible and non‑adversarial.</w:t>
      </w:r>
    </w:p>
    <w:p w14:paraId="0C627B98" w14:textId="77777777" w:rsidR="00C960E5" w:rsidRDefault="00D028A3">
      <w:pPr>
        <w:pStyle w:val="ListBullet"/>
        <w:spacing w:after="40"/>
      </w:pPr>
      <w:r>
        <w:t>After the hearing: the panel deliberates in private; the Clerk issues the panel’s findings and recommendations in writing within 10 school days.</w:t>
      </w:r>
    </w:p>
    <w:sectPr w:rsidR="00C960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273178">
    <w:abstractNumId w:val="8"/>
  </w:num>
  <w:num w:numId="2" w16cid:durableId="602616469">
    <w:abstractNumId w:val="6"/>
  </w:num>
  <w:num w:numId="3" w16cid:durableId="1137532645">
    <w:abstractNumId w:val="5"/>
  </w:num>
  <w:num w:numId="4" w16cid:durableId="406535319">
    <w:abstractNumId w:val="4"/>
  </w:num>
  <w:num w:numId="5" w16cid:durableId="1242912649">
    <w:abstractNumId w:val="7"/>
  </w:num>
  <w:num w:numId="6" w16cid:durableId="72750019">
    <w:abstractNumId w:val="3"/>
  </w:num>
  <w:num w:numId="7" w16cid:durableId="1529563725">
    <w:abstractNumId w:val="2"/>
  </w:num>
  <w:num w:numId="8" w16cid:durableId="113525751">
    <w:abstractNumId w:val="1"/>
  </w:num>
  <w:num w:numId="9" w16cid:durableId="15029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EDC"/>
    <w:rsid w:val="00326F90"/>
    <w:rsid w:val="00704C4A"/>
    <w:rsid w:val="00744645"/>
    <w:rsid w:val="00961606"/>
    <w:rsid w:val="00AA1D8D"/>
    <w:rsid w:val="00B47730"/>
    <w:rsid w:val="00C960E5"/>
    <w:rsid w:val="00CB0664"/>
    <w:rsid w:val="00D028A3"/>
    <w:rsid w:val="00EB0E3D"/>
    <w:rsid w:val="00FA469F"/>
    <w:rsid w:val="00FC693F"/>
    <w:rsid w:val="081532F5"/>
    <w:rsid w:val="103CAD3C"/>
    <w:rsid w:val="310ADE54"/>
    <w:rsid w:val="3561B817"/>
    <w:rsid w:val="3F25B5E0"/>
    <w:rsid w:val="4A4876D7"/>
    <w:rsid w:val="4F59C15A"/>
    <w:rsid w:val="5A24AD61"/>
    <w:rsid w:val="5D0D4A0D"/>
    <w:rsid w:val="5E473912"/>
    <w:rsid w:val="61DD6990"/>
    <w:rsid w:val="67AC5850"/>
    <w:rsid w:val="6FAC552C"/>
    <w:rsid w:val="721A3B33"/>
    <w:rsid w:val="72A5027B"/>
    <w:rsid w:val="73E2C9B8"/>
    <w:rsid w:val="79234D9F"/>
    <w:rsid w:val="7B38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EB1ED"/>
  <w14:defaultImageDpi w14:val="300"/>
  <w15:docId w15:val="{1883E762-D245-4A75-A8B3-F0805FA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80FB7DB74849BA0646C991E87499" ma:contentTypeVersion="10" ma:contentTypeDescription="Create a new document." ma:contentTypeScope="" ma:versionID="22584c6c3b53417ec19df370e374b20d">
  <xsd:schema xmlns:xsd="http://www.w3.org/2001/XMLSchema" xmlns:xs="http://www.w3.org/2001/XMLSchema" xmlns:p="http://schemas.microsoft.com/office/2006/metadata/properties" xmlns:ns2="237b45ac-0b85-4801-b66a-0325bc3cea57" xmlns:ns3="b8fcafe4-a931-4197-829d-c1693727b4d0" targetNamespace="http://schemas.microsoft.com/office/2006/metadata/properties" ma:root="true" ma:fieldsID="6b8314798b05b939fd4bbecb9552052e" ns2:_="" ns3:_="">
    <xsd:import namespace="237b45ac-0b85-4801-b66a-0325bc3cea57"/>
    <xsd:import namespace="b8fcafe4-a931-4197-829d-c1693727b4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45ac-0b85-4801-b66a-0325bc3ce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afe4-a931-4197-829d-c1693727b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2A183-8BDB-42DD-BA3D-864799B71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65CBCA-00BD-471A-8DB9-25A1ACF7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b45ac-0b85-4801-b66a-0325bc3cea57"/>
    <ds:schemaRef ds:uri="b8fcafe4-a931-4197-829d-c1693727b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9488C-3215-4A55-B787-5DD5A3B8F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1414</Words>
  <Characters>8063</Characters>
  <Application>Microsoft Office Word</Application>
  <DocSecurity>0</DocSecurity>
  <Lines>67</Lines>
  <Paragraphs>18</Paragraphs>
  <ScaleCrop>false</ScaleCrop>
  <Manager/>
  <Company/>
  <LinksUpToDate>false</LinksUpToDate>
  <CharactersWithSpaces>9459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Omar Halimy</cp:lastModifiedBy>
  <cp:revision>3</cp:revision>
  <cp:lastPrinted>2025-09-30T10:02:00Z</cp:lastPrinted>
  <dcterms:created xsi:type="dcterms:W3CDTF">2025-09-30T10:05:00Z</dcterms:created>
  <dcterms:modified xsi:type="dcterms:W3CDTF">2025-10-22T22:49:00Z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0x01010002F180FB7DB74849BA0646C991E87499</vt:lpwstr>
  </property>
</Properties>
</file>